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2F" w:rsidRDefault="0078412F" w:rsidP="003B2DBB">
      <w:pPr>
        <w:ind w:firstLine="284"/>
      </w:pPr>
    </w:p>
    <w:p w:rsidR="0078412F" w:rsidRDefault="0078412F" w:rsidP="003B2DBB">
      <w:pPr>
        <w:ind w:firstLine="284"/>
      </w:pPr>
    </w:p>
    <w:p w:rsidR="001431C7" w:rsidRPr="00FA030D" w:rsidRDefault="00FD521C" w:rsidP="003B2DBB">
      <w:pPr>
        <w:ind w:firstLine="284"/>
      </w:pPr>
      <w:r>
        <w:rPr>
          <w:noProof/>
          <w:lang w:val="en-GB" w:eastAsia="en-GB"/>
        </w:rPr>
        <mc:AlternateContent>
          <mc:Choice Requires="wpg">
            <w:drawing>
              <wp:anchor distT="0" distB="0" distL="114300" distR="114300" simplePos="0" relativeHeight="251661312" behindDoc="0" locked="0" layoutInCell="0" allowOverlap="1" wp14:anchorId="2799AFD7" wp14:editId="4DFB8EFB">
                <wp:simplePos x="0" y="0"/>
                <wp:positionH relativeFrom="page">
                  <wp:align>center</wp:align>
                </wp:positionH>
                <wp:positionV relativeFrom="margin">
                  <wp:align>center</wp:align>
                </wp:positionV>
                <wp:extent cx="7557135" cy="885888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8858885"/>
                          <a:chOff x="0" y="1440"/>
                          <a:chExt cx="12240" cy="12959"/>
                        </a:xfrm>
                      </wpg:grpSpPr>
                      <wpg:grpSp>
                        <wpg:cNvPr id="2" name="Group 4"/>
                        <wpg:cNvGrpSpPr>
                          <a:grpSpLocks/>
                        </wpg:cNvGrpSpPr>
                        <wpg:grpSpPr bwMode="auto">
                          <a:xfrm>
                            <a:off x="0" y="9661"/>
                            <a:ext cx="12240" cy="4738"/>
                            <a:chOff x="-6" y="3399"/>
                            <a:chExt cx="12197" cy="4253"/>
                          </a:xfrm>
                        </wpg:grpSpPr>
                        <wpg:grpSp>
                          <wpg:cNvPr id="3" name="Group 5"/>
                          <wpg:cNvGrpSpPr>
                            <a:grpSpLocks/>
                          </wpg:cNvGrpSpPr>
                          <wpg:grpSpPr bwMode="auto">
                            <a:xfrm>
                              <a:off x="-6" y="3717"/>
                              <a:ext cx="12189" cy="3550"/>
                              <a:chOff x="18" y="7468"/>
                              <a:chExt cx="12189" cy="3550"/>
                            </a:xfrm>
                          </wpg:grpSpPr>
                          <wps:wsp>
                            <wps:cNvPr id="4"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5"/>
                        <wps:cNvSpPr>
                          <a:spLocks noChangeArrowheads="1"/>
                        </wps:cNvSpPr>
                        <wps:spPr bwMode="auto">
                          <a:xfrm>
                            <a:off x="1800" y="1440"/>
                            <a:ext cx="8638" cy="1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59A" w:rsidRPr="00BC508C" w:rsidRDefault="0019259A">
                              <w:pPr>
                                <w:spacing w:after="0"/>
                                <w:rPr>
                                  <w:b/>
                                  <w:bCs/>
                                  <w:color w:val="000000"/>
                                  <w:sz w:val="40"/>
                                  <w:szCs w:val="40"/>
                                </w:rPr>
                              </w:pPr>
                              <w:r w:rsidRPr="00BC508C">
                                <w:rPr>
                                  <w:b/>
                                  <w:bCs/>
                                  <w:sz w:val="40"/>
                                  <w:szCs w:val="40"/>
                                  <w:lang w:val="en-GB"/>
                                </w:rPr>
                                <w:t>Food Standards Australia New Zealand</w:t>
                              </w:r>
                            </w:p>
                            <w:p w:rsidR="0019259A" w:rsidRPr="00BC508C" w:rsidRDefault="0019259A">
                              <w:pPr>
                                <w:spacing w:after="0"/>
                                <w:rPr>
                                  <w:b/>
                                  <w:bCs/>
                                  <w:color w:val="000000"/>
                                  <w:sz w:val="32"/>
                                  <w:szCs w:val="32"/>
                                </w:rPr>
                              </w:pPr>
                            </w:p>
                          </w:txbxContent>
                        </wps:txbx>
                        <wps:bodyPr rot="0" vert="horz" wrap="square" lIns="91440" tIns="45720" rIns="91440" bIns="45720" anchor="t" anchorCtr="0" upright="1">
                          <a:spAutoFit/>
                        </wps:bodyPr>
                      </wps:wsp>
                      <wps:wsp>
                        <wps:cNvPr id="14" name="Rectangle 16"/>
                        <wps:cNvSpPr>
                          <a:spLocks noChangeArrowheads="1"/>
                        </wps:cNvSpPr>
                        <wps:spPr bwMode="auto">
                          <a:xfrm>
                            <a:off x="6494" y="11160"/>
                            <a:ext cx="4998"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59A" w:rsidRPr="00FA030D" w:rsidRDefault="0019259A" w:rsidP="00720884">
                              <w:pPr>
                                <w:ind w:right="1120"/>
                                <w:jc w:val="right"/>
                                <w:rPr>
                                  <w:sz w:val="48"/>
                                  <w:szCs w:val="48"/>
                                </w:rPr>
                              </w:pPr>
                              <w:r w:rsidRPr="00FA030D">
                                <w:rPr>
                                  <w:sz w:val="48"/>
                                  <w:szCs w:val="48"/>
                                  <w:lang w:val="en-US"/>
                                </w:rPr>
                                <w:t>2012</w:t>
                              </w:r>
                            </w:p>
                          </w:txbxContent>
                        </wps:txbx>
                        <wps:bodyPr rot="0" vert="horz" wrap="square" lIns="91440" tIns="45720" rIns="91440" bIns="45720" anchor="t" anchorCtr="0" upright="1">
                          <a:spAutoFit/>
                        </wps:bodyPr>
                      </wps:wsp>
                      <wps:wsp>
                        <wps:cNvPr id="15" name="Rectangle 17"/>
                        <wps:cNvSpPr>
                          <a:spLocks noChangeArrowheads="1"/>
                        </wps:cNvSpPr>
                        <wps:spPr bwMode="auto">
                          <a:xfrm>
                            <a:off x="852" y="2294"/>
                            <a:ext cx="9586"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59A" w:rsidRPr="00BC508C" w:rsidRDefault="0019259A" w:rsidP="00201CE8">
                              <w:pPr>
                                <w:spacing w:before="100" w:beforeAutospacing="1" w:after="100" w:afterAutospacing="1"/>
                                <w:rPr>
                                  <w:b/>
                                  <w:bCs/>
                                  <w:color w:val="1F497D"/>
                                  <w:sz w:val="72"/>
                                  <w:szCs w:val="72"/>
                                </w:rPr>
                              </w:pPr>
                              <w:r>
                                <w:rPr>
                                  <w:b/>
                                  <w:bCs/>
                                  <w:sz w:val="72"/>
                                  <w:szCs w:val="72"/>
                                  <w:lang w:val="en-GB"/>
                                </w:rPr>
                                <w:t>E</w:t>
                              </w:r>
                              <w:r w:rsidRPr="00BC508C">
                                <w:rPr>
                                  <w:b/>
                                  <w:bCs/>
                                  <w:sz w:val="72"/>
                                  <w:szCs w:val="72"/>
                                  <w:lang w:val="en-GB"/>
                                </w:rPr>
                                <w:t xml:space="preserve">xternal peer review of </w:t>
                              </w:r>
                              <w:r>
                                <w:rPr>
                                  <w:b/>
                                  <w:bCs/>
                                  <w:sz w:val="72"/>
                                  <w:szCs w:val="72"/>
                                  <w:lang w:val="en-GB"/>
                                </w:rPr>
                                <w:t xml:space="preserve">FSANZ </w:t>
                              </w:r>
                              <w:r w:rsidRPr="00BC508C">
                                <w:rPr>
                                  <w:b/>
                                  <w:bCs/>
                                  <w:sz w:val="72"/>
                                  <w:szCs w:val="72"/>
                                  <w:lang w:val="en-GB"/>
                                </w:rPr>
                                <w:t>risk assessment practices and procedures</w:t>
                              </w:r>
                            </w:p>
                            <w:p w:rsidR="0019259A" w:rsidRPr="00BC508C" w:rsidRDefault="0019259A" w:rsidP="00BC508C">
                              <w:pPr>
                                <w:rPr>
                                  <w:b/>
                                  <w:bCs/>
                                  <w:color w:val="4F81BD"/>
                                  <w:sz w:val="40"/>
                                  <w:szCs w:val="40"/>
                                </w:rPr>
                              </w:pPr>
                            </w:p>
                            <w:p w:rsidR="0019259A" w:rsidRPr="00BC508C" w:rsidRDefault="0019259A">
                              <w:pPr>
                                <w:rPr>
                                  <w:b/>
                                  <w:bCs/>
                                  <w:color w:val="000000"/>
                                  <w:sz w:val="32"/>
                                  <w:szCs w:val="32"/>
                                </w:rPr>
                              </w:pPr>
                              <w:r>
                                <w:rPr>
                                  <w:b/>
                                  <w:bCs/>
                                  <w:sz w:val="32"/>
                                  <w:szCs w:val="32"/>
                                  <w:lang w:val="en-GB"/>
                                </w:rPr>
                                <w:t>Dr Angelika Tritscher, World Health Organization</w:t>
                              </w:r>
                            </w:p>
                            <w:p w:rsidR="0019259A" w:rsidRPr="00BC508C" w:rsidRDefault="0019259A">
                              <w:pPr>
                                <w:rPr>
                                  <w:b/>
                                  <w:bCs/>
                                  <w:color w:val="00000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left:0;text-align:left;margin-left:0;margin-top:0;width:595.05pt;height:697.55pt;z-index:251661312;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n/sIA&#10;AADbAAAADwAAAGRycy9kb3ducmV2LnhtbERPzWrCQBC+C77DMoIX0Y1WrKauItpC9NboA4zZMUnN&#10;zobsqunbdwuCt/n4fme5bk0l7tS40rKC8SgCQZxZXXKu4HT8Gs5BOI+ssbJMCn7JwXrV7Swx1vbB&#10;33RPfS5CCLsYFRTe17GULivIoBvZmjhwF9sY9AE2udQNPkK4qeQkimbSYMmhocCatgVl1/RmFOwP&#10;08Npm8if66LcDZL3NJLn2adS/V67+QDhqfUv8dOd6DD/Df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qf+wgAAANsAAAAPAAAAAAAAAAAAAAAAAJgCAABkcnMvZG93&#10;bnJldi54bWxQSwUGAAAAAAQABAD1AAAAhwMAAAAA&#10;" filled="f" stroked="f">
                  <v:textbox style="mso-fit-shape-to-text:t">
                    <w:txbxContent>
                      <w:p w:rsidR="0019259A" w:rsidRPr="00BC508C" w:rsidRDefault="0019259A">
                        <w:pPr>
                          <w:spacing w:after="0"/>
                          <w:rPr>
                            <w:b/>
                            <w:bCs/>
                            <w:color w:val="000000"/>
                            <w:sz w:val="40"/>
                            <w:szCs w:val="40"/>
                          </w:rPr>
                        </w:pPr>
                        <w:r w:rsidRPr="00BC508C">
                          <w:rPr>
                            <w:b/>
                            <w:bCs/>
                            <w:sz w:val="40"/>
                            <w:szCs w:val="40"/>
                            <w:lang w:val="en-GB"/>
                          </w:rPr>
                          <w:t>Food Standards Australia New Zealand</w:t>
                        </w:r>
                      </w:p>
                      <w:p w:rsidR="0019259A" w:rsidRPr="00BC508C" w:rsidRDefault="0019259A">
                        <w:pPr>
                          <w:spacing w:after="0"/>
                          <w:rPr>
                            <w:b/>
                            <w:bCs/>
                            <w:color w:val="000000"/>
                            <w:sz w:val="32"/>
                            <w:szCs w:val="32"/>
                          </w:rPr>
                        </w:pPr>
                      </w:p>
                    </w:txbxContent>
                  </v:textbox>
                </v:rect>
                <v:rect id="Rectangle 16" o:spid="_x0000_s1039" style="position:absolute;left:6494;top:11160;width:4998;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isMA&#10;AADbAAAADwAAAGRycy9kb3ducmV2LnhtbERPzWrCQBC+C77DMoVepG5aQmyjq4i1kObW6ANMs2OS&#10;mp0N2dWkb+8Khd7m4/ud1WY0rbhS7xrLCp7nEQji0uqGKwXHw8fTKwjnkTW2lknBLznYrKeTFaba&#10;DvxF18JXIoSwS1FB7X2XSunKmgy6ue2IA3eyvUEfYF9J3eMQwk0rX6IokQYbDg01drSrqTwXF6Pg&#10;M4/z4y6TP+e35n2WLYpIfid7pR4fxu0ShKfR/4v/3JkO82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M/isMAAADbAAAADwAAAAAAAAAAAAAAAACYAgAAZHJzL2Rv&#10;d25yZXYueG1sUEsFBgAAAAAEAAQA9QAAAIgDAAAAAA==&#10;" filled="f" stroked="f">
                  <v:textbox style="mso-fit-shape-to-text:t">
                    <w:txbxContent>
                      <w:p w:rsidR="0019259A" w:rsidRPr="00FA030D" w:rsidRDefault="0019259A" w:rsidP="00720884">
                        <w:pPr>
                          <w:ind w:right="1120"/>
                          <w:jc w:val="right"/>
                          <w:rPr>
                            <w:sz w:val="48"/>
                            <w:szCs w:val="48"/>
                          </w:rPr>
                        </w:pPr>
                        <w:r w:rsidRPr="00FA030D">
                          <w:rPr>
                            <w:sz w:val="48"/>
                            <w:szCs w:val="48"/>
                            <w:lang w:val="en-US"/>
                          </w:rPr>
                          <w:t>2012</w:t>
                        </w:r>
                      </w:p>
                    </w:txbxContent>
                  </v:textbox>
                </v:rect>
                <v:rect id="Rectangle 17" o:spid="_x0000_s1040" style="position:absolute;left:852;top:2294;width:9586;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19259A" w:rsidRPr="00BC508C" w:rsidRDefault="0019259A" w:rsidP="00201CE8">
                        <w:pPr>
                          <w:spacing w:before="100" w:beforeAutospacing="1" w:after="100" w:afterAutospacing="1"/>
                          <w:rPr>
                            <w:b/>
                            <w:bCs/>
                            <w:color w:val="1F497D"/>
                            <w:sz w:val="72"/>
                            <w:szCs w:val="72"/>
                          </w:rPr>
                        </w:pPr>
                        <w:r>
                          <w:rPr>
                            <w:b/>
                            <w:bCs/>
                            <w:sz w:val="72"/>
                            <w:szCs w:val="72"/>
                            <w:lang w:val="en-GB"/>
                          </w:rPr>
                          <w:t>E</w:t>
                        </w:r>
                        <w:r w:rsidRPr="00BC508C">
                          <w:rPr>
                            <w:b/>
                            <w:bCs/>
                            <w:sz w:val="72"/>
                            <w:szCs w:val="72"/>
                            <w:lang w:val="en-GB"/>
                          </w:rPr>
                          <w:t xml:space="preserve">xternal peer review of </w:t>
                        </w:r>
                        <w:r>
                          <w:rPr>
                            <w:b/>
                            <w:bCs/>
                            <w:sz w:val="72"/>
                            <w:szCs w:val="72"/>
                            <w:lang w:val="en-GB"/>
                          </w:rPr>
                          <w:t xml:space="preserve">FSANZ </w:t>
                        </w:r>
                        <w:r w:rsidRPr="00BC508C">
                          <w:rPr>
                            <w:b/>
                            <w:bCs/>
                            <w:sz w:val="72"/>
                            <w:szCs w:val="72"/>
                            <w:lang w:val="en-GB"/>
                          </w:rPr>
                          <w:t>risk assessment practices and procedures</w:t>
                        </w:r>
                      </w:p>
                      <w:p w:rsidR="0019259A" w:rsidRPr="00BC508C" w:rsidRDefault="0019259A" w:rsidP="00BC508C">
                        <w:pPr>
                          <w:rPr>
                            <w:b/>
                            <w:bCs/>
                            <w:color w:val="4F81BD"/>
                            <w:sz w:val="40"/>
                            <w:szCs w:val="40"/>
                          </w:rPr>
                        </w:pPr>
                      </w:p>
                      <w:p w:rsidR="0019259A" w:rsidRPr="00BC508C" w:rsidRDefault="0019259A">
                        <w:pPr>
                          <w:rPr>
                            <w:b/>
                            <w:bCs/>
                            <w:color w:val="000000"/>
                            <w:sz w:val="32"/>
                            <w:szCs w:val="32"/>
                          </w:rPr>
                        </w:pPr>
                        <w:r>
                          <w:rPr>
                            <w:b/>
                            <w:bCs/>
                            <w:sz w:val="32"/>
                            <w:szCs w:val="32"/>
                            <w:lang w:val="en-GB"/>
                          </w:rPr>
                          <w:t>Dr Angelika Tritscher, World Health Organization</w:t>
                        </w:r>
                      </w:p>
                      <w:p w:rsidR="0019259A" w:rsidRPr="00BC508C" w:rsidRDefault="0019259A">
                        <w:pPr>
                          <w:rPr>
                            <w:b/>
                            <w:bCs/>
                            <w:color w:val="000000"/>
                            <w:sz w:val="32"/>
                            <w:szCs w:val="32"/>
                          </w:rPr>
                        </w:pPr>
                      </w:p>
                    </w:txbxContent>
                  </v:textbox>
                </v:rect>
                <w10:wrap anchorx="page" anchory="margin"/>
              </v:group>
            </w:pict>
          </mc:Fallback>
        </mc:AlternateContent>
      </w:r>
      <w:r w:rsidR="00492770">
        <w:t xml:space="preserve">  </w:t>
      </w:r>
      <w:r w:rsidR="00BC508C">
        <w:br w:type="page"/>
      </w:r>
    </w:p>
    <w:p w:rsidR="001431C7" w:rsidRDefault="001431C7" w:rsidP="003B2DBB">
      <w:pPr>
        <w:spacing w:after="0"/>
        <w:ind w:firstLine="284"/>
        <w:jc w:val="center"/>
        <w:rPr>
          <w:b/>
        </w:rPr>
      </w:pPr>
      <w:bookmarkStart w:id="0" w:name="_GoBack"/>
      <w:bookmarkEnd w:id="0"/>
      <w:r>
        <w:rPr>
          <w:b/>
        </w:rPr>
        <w:lastRenderedPageBreak/>
        <w:t>Prepared by</w:t>
      </w:r>
    </w:p>
    <w:p w:rsidR="001431C7" w:rsidRDefault="001431C7" w:rsidP="003B2DBB">
      <w:pPr>
        <w:spacing w:after="0"/>
        <w:ind w:firstLine="284"/>
        <w:jc w:val="center"/>
        <w:rPr>
          <w:b/>
        </w:rPr>
      </w:pPr>
      <w:r>
        <w:rPr>
          <w:b/>
        </w:rPr>
        <w:t>Dr Angelika Tritscher</w:t>
      </w:r>
    </w:p>
    <w:p w:rsidR="001431C7" w:rsidRDefault="000E7B95" w:rsidP="003B2DBB">
      <w:pPr>
        <w:spacing w:after="0"/>
        <w:ind w:firstLine="284"/>
        <w:jc w:val="center"/>
        <w:rPr>
          <w:b/>
        </w:rPr>
      </w:pPr>
      <w:r>
        <w:rPr>
          <w:b/>
        </w:rPr>
        <w:t>Department of Food S</w:t>
      </w:r>
      <w:r w:rsidR="001431C7">
        <w:rPr>
          <w:b/>
        </w:rPr>
        <w:t>afety and Zoonoses</w:t>
      </w:r>
    </w:p>
    <w:p w:rsidR="001431C7" w:rsidRPr="00C8288A" w:rsidRDefault="001431C7" w:rsidP="003B2DBB">
      <w:pPr>
        <w:spacing w:after="0"/>
        <w:ind w:firstLine="284"/>
        <w:jc w:val="center"/>
        <w:rPr>
          <w:b/>
        </w:rPr>
      </w:pPr>
      <w:r>
        <w:rPr>
          <w:b/>
        </w:rPr>
        <w:t>World Health Organization</w:t>
      </w:r>
    </w:p>
    <w:p w:rsidR="00876693" w:rsidRDefault="00876693" w:rsidP="003B2DBB">
      <w:pPr>
        <w:pStyle w:val="TOCHeading"/>
        <w:ind w:firstLine="284"/>
      </w:pPr>
      <w:r>
        <w:t>Contents</w:t>
      </w:r>
    </w:p>
    <w:p w:rsidR="00130B5E" w:rsidRDefault="00876693">
      <w:pPr>
        <w:pStyle w:val="TOC1"/>
        <w:tabs>
          <w:tab w:val="right" w:leader="dot" w:pos="9182"/>
        </w:tabs>
        <w:rPr>
          <w:rFonts w:asciiTheme="minorHAnsi" w:hAnsiTheme="minorHAnsi" w:cstheme="minorBidi"/>
          <w:noProof/>
          <w:lang w:val="en-US" w:eastAsia="zh-CN"/>
        </w:rPr>
      </w:pPr>
      <w:r>
        <w:fldChar w:fldCharType="begin"/>
      </w:r>
      <w:r>
        <w:instrText xml:space="preserve"> TOC \o "1-3" \h \z \u </w:instrText>
      </w:r>
      <w:r>
        <w:fldChar w:fldCharType="separate"/>
      </w:r>
      <w:hyperlink w:anchor="_Toc332959994" w:history="1">
        <w:r w:rsidR="00130B5E" w:rsidRPr="002703DF">
          <w:rPr>
            <w:rStyle w:val="Hyperlink"/>
            <w:noProof/>
          </w:rPr>
          <w:t>Executive Summary</w:t>
        </w:r>
        <w:r w:rsidR="00130B5E">
          <w:rPr>
            <w:noProof/>
            <w:webHidden/>
          </w:rPr>
          <w:tab/>
        </w:r>
        <w:r w:rsidR="00130B5E">
          <w:rPr>
            <w:noProof/>
            <w:webHidden/>
          </w:rPr>
          <w:fldChar w:fldCharType="begin"/>
        </w:r>
        <w:r w:rsidR="00130B5E">
          <w:rPr>
            <w:noProof/>
            <w:webHidden/>
          </w:rPr>
          <w:instrText xml:space="preserve"> PAGEREF _Toc332959994 \h </w:instrText>
        </w:r>
        <w:r w:rsidR="00130B5E">
          <w:rPr>
            <w:noProof/>
            <w:webHidden/>
          </w:rPr>
        </w:r>
        <w:r w:rsidR="00130B5E">
          <w:rPr>
            <w:noProof/>
            <w:webHidden/>
          </w:rPr>
          <w:fldChar w:fldCharType="separate"/>
        </w:r>
        <w:r w:rsidR="00130B5E">
          <w:rPr>
            <w:noProof/>
            <w:webHidden/>
          </w:rPr>
          <w:t>4</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59995" w:history="1">
        <w:r w:rsidR="00130B5E" w:rsidRPr="002703DF">
          <w:rPr>
            <w:rStyle w:val="Hyperlink"/>
            <w:noProof/>
          </w:rPr>
          <w:t>Acronyms</w:t>
        </w:r>
        <w:r w:rsidR="00130B5E">
          <w:rPr>
            <w:noProof/>
            <w:webHidden/>
          </w:rPr>
          <w:tab/>
        </w:r>
        <w:r w:rsidR="00130B5E">
          <w:rPr>
            <w:noProof/>
            <w:webHidden/>
          </w:rPr>
          <w:fldChar w:fldCharType="begin"/>
        </w:r>
        <w:r w:rsidR="00130B5E">
          <w:rPr>
            <w:noProof/>
            <w:webHidden/>
          </w:rPr>
          <w:instrText xml:space="preserve"> PAGEREF _Toc332959995 \h </w:instrText>
        </w:r>
        <w:r w:rsidR="00130B5E">
          <w:rPr>
            <w:noProof/>
            <w:webHidden/>
          </w:rPr>
        </w:r>
        <w:r w:rsidR="00130B5E">
          <w:rPr>
            <w:noProof/>
            <w:webHidden/>
          </w:rPr>
          <w:fldChar w:fldCharType="separate"/>
        </w:r>
        <w:r w:rsidR="00130B5E">
          <w:rPr>
            <w:noProof/>
            <w:webHidden/>
          </w:rPr>
          <w:t>7</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59996" w:history="1">
        <w:r w:rsidR="00130B5E" w:rsidRPr="002703DF">
          <w:rPr>
            <w:rStyle w:val="Hyperlink"/>
            <w:noProof/>
          </w:rPr>
          <w:t>1. Background</w:t>
        </w:r>
        <w:r w:rsidR="00130B5E">
          <w:rPr>
            <w:noProof/>
            <w:webHidden/>
          </w:rPr>
          <w:tab/>
        </w:r>
        <w:r w:rsidR="00130B5E">
          <w:rPr>
            <w:noProof/>
            <w:webHidden/>
          </w:rPr>
          <w:fldChar w:fldCharType="begin"/>
        </w:r>
        <w:r w:rsidR="00130B5E">
          <w:rPr>
            <w:noProof/>
            <w:webHidden/>
          </w:rPr>
          <w:instrText xml:space="preserve"> PAGEREF _Toc332959996 \h </w:instrText>
        </w:r>
        <w:r w:rsidR="00130B5E">
          <w:rPr>
            <w:noProof/>
            <w:webHidden/>
          </w:rPr>
        </w:r>
        <w:r w:rsidR="00130B5E">
          <w:rPr>
            <w:noProof/>
            <w:webHidden/>
          </w:rPr>
          <w:fldChar w:fldCharType="separate"/>
        </w:r>
        <w:r w:rsidR="00130B5E">
          <w:rPr>
            <w:noProof/>
            <w:webHidden/>
          </w:rPr>
          <w:t>8</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59997" w:history="1">
        <w:r w:rsidR="00130B5E" w:rsidRPr="002703DF">
          <w:rPr>
            <w:rStyle w:val="Hyperlink"/>
            <w:noProof/>
          </w:rPr>
          <w:t>2. Objectives</w:t>
        </w:r>
        <w:r w:rsidR="00130B5E">
          <w:rPr>
            <w:noProof/>
            <w:webHidden/>
          </w:rPr>
          <w:tab/>
        </w:r>
        <w:r w:rsidR="00130B5E">
          <w:rPr>
            <w:noProof/>
            <w:webHidden/>
          </w:rPr>
          <w:fldChar w:fldCharType="begin"/>
        </w:r>
        <w:r w:rsidR="00130B5E">
          <w:rPr>
            <w:noProof/>
            <w:webHidden/>
          </w:rPr>
          <w:instrText xml:space="preserve"> PAGEREF _Toc332959997 \h </w:instrText>
        </w:r>
        <w:r w:rsidR="00130B5E">
          <w:rPr>
            <w:noProof/>
            <w:webHidden/>
          </w:rPr>
        </w:r>
        <w:r w:rsidR="00130B5E">
          <w:rPr>
            <w:noProof/>
            <w:webHidden/>
          </w:rPr>
          <w:fldChar w:fldCharType="separate"/>
        </w:r>
        <w:r w:rsidR="00130B5E">
          <w:rPr>
            <w:noProof/>
            <w:webHidden/>
          </w:rPr>
          <w:t>8</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59998" w:history="1">
        <w:r w:rsidR="00130B5E" w:rsidRPr="002703DF">
          <w:rPr>
            <w:rStyle w:val="Hyperlink"/>
            <w:noProof/>
          </w:rPr>
          <w:t>3. Terms of Reference</w:t>
        </w:r>
        <w:r w:rsidR="00130B5E">
          <w:rPr>
            <w:noProof/>
            <w:webHidden/>
          </w:rPr>
          <w:tab/>
        </w:r>
        <w:r w:rsidR="00130B5E">
          <w:rPr>
            <w:noProof/>
            <w:webHidden/>
          </w:rPr>
          <w:fldChar w:fldCharType="begin"/>
        </w:r>
        <w:r w:rsidR="00130B5E">
          <w:rPr>
            <w:noProof/>
            <w:webHidden/>
          </w:rPr>
          <w:instrText xml:space="preserve"> PAGEREF _Toc332959998 \h </w:instrText>
        </w:r>
        <w:r w:rsidR="00130B5E">
          <w:rPr>
            <w:noProof/>
            <w:webHidden/>
          </w:rPr>
        </w:r>
        <w:r w:rsidR="00130B5E">
          <w:rPr>
            <w:noProof/>
            <w:webHidden/>
          </w:rPr>
          <w:fldChar w:fldCharType="separate"/>
        </w:r>
        <w:r w:rsidR="00130B5E">
          <w:rPr>
            <w:noProof/>
            <w:webHidden/>
          </w:rPr>
          <w:t>9</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59999" w:history="1">
        <w:r w:rsidR="00130B5E" w:rsidRPr="002703DF">
          <w:rPr>
            <w:rStyle w:val="Hyperlink"/>
            <w:noProof/>
          </w:rPr>
          <w:t>4. Approach and Process</w:t>
        </w:r>
        <w:r w:rsidR="00130B5E">
          <w:rPr>
            <w:noProof/>
            <w:webHidden/>
          </w:rPr>
          <w:tab/>
        </w:r>
        <w:r w:rsidR="00130B5E">
          <w:rPr>
            <w:noProof/>
            <w:webHidden/>
          </w:rPr>
          <w:fldChar w:fldCharType="begin"/>
        </w:r>
        <w:r w:rsidR="00130B5E">
          <w:rPr>
            <w:noProof/>
            <w:webHidden/>
          </w:rPr>
          <w:instrText xml:space="preserve"> PAGEREF _Toc332959999 \h </w:instrText>
        </w:r>
        <w:r w:rsidR="00130B5E">
          <w:rPr>
            <w:noProof/>
            <w:webHidden/>
          </w:rPr>
        </w:r>
        <w:r w:rsidR="00130B5E">
          <w:rPr>
            <w:noProof/>
            <w:webHidden/>
          </w:rPr>
          <w:fldChar w:fldCharType="separate"/>
        </w:r>
        <w:r w:rsidR="00130B5E">
          <w:rPr>
            <w:noProof/>
            <w:webHidden/>
          </w:rPr>
          <w:t>9</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60000" w:history="1">
        <w:r w:rsidR="00130B5E" w:rsidRPr="002703DF">
          <w:rPr>
            <w:rStyle w:val="Hyperlink"/>
            <w:noProof/>
          </w:rPr>
          <w:t>4.1. Documentation consulted</w:t>
        </w:r>
        <w:r w:rsidR="00130B5E">
          <w:rPr>
            <w:noProof/>
            <w:webHidden/>
          </w:rPr>
          <w:tab/>
        </w:r>
        <w:r w:rsidR="00130B5E">
          <w:rPr>
            <w:noProof/>
            <w:webHidden/>
          </w:rPr>
          <w:fldChar w:fldCharType="begin"/>
        </w:r>
        <w:r w:rsidR="00130B5E">
          <w:rPr>
            <w:noProof/>
            <w:webHidden/>
          </w:rPr>
          <w:instrText xml:space="preserve"> PAGEREF _Toc332960000 \h </w:instrText>
        </w:r>
        <w:r w:rsidR="00130B5E">
          <w:rPr>
            <w:noProof/>
            <w:webHidden/>
          </w:rPr>
        </w:r>
        <w:r w:rsidR="00130B5E">
          <w:rPr>
            <w:noProof/>
            <w:webHidden/>
          </w:rPr>
          <w:fldChar w:fldCharType="separate"/>
        </w:r>
        <w:r w:rsidR="00130B5E">
          <w:rPr>
            <w:noProof/>
            <w:webHidden/>
          </w:rPr>
          <w:t>9</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01" w:history="1">
        <w:r w:rsidR="00130B5E" w:rsidRPr="002703DF">
          <w:rPr>
            <w:rStyle w:val="Hyperlink"/>
            <w:noProof/>
          </w:rPr>
          <w:t>4.2. Direct discussions/interviews</w:t>
        </w:r>
        <w:r w:rsidR="00130B5E">
          <w:rPr>
            <w:noProof/>
            <w:webHidden/>
          </w:rPr>
          <w:tab/>
        </w:r>
        <w:r w:rsidR="00130B5E">
          <w:rPr>
            <w:noProof/>
            <w:webHidden/>
          </w:rPr>
          <w:fldChar w:fldCharType="begin"/>
        </w:r>
        <w:r w:rsidR="00130B5E">
          <w:rPr>
            <w:noProof/>
            <w:webHidden/>
          </w:rPr>
          <w:instrText xml:space="preserve"> PAGEREF _Toc332960001 \h </w:instrText>
        </w:r>
        <w:r w:rsidR="00130B5E">
          <w:rPr>
            <w:noProof/>
            <w:webHidden/>
          </w:rPr>
        </w:r>
        <w:r w:rsidR="00130B5E">
          <w:rPr>
            <w:noProof/>
            <w:webHidden/>
          </w:rPr>
          <w:fldChar w:fldCharType="separate"/>
        </w:r>
        <w:r w:rsidR="00130B5E">
          <w:rPr>
            <w:noProof/>
            <w:webHidden/>
          </w:rPr>
          <w:t>10</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02" w:history="1">
        <w:r w:rsidR="00130B5E" w:rsidRPr="002703DF">
          <w:rPr>
            <w:rStyle w:val="Hyperlink"/>
            <w:noProof/>
          </w:rPr>
          <w:t>4.3. Workshop with Jurisdictions</w:t>
        </w:r>
        <w:r w:rsidR="00130B5E">
          <w:rPr>
            <w:noProof/>
            <w:webHidden/>
          </w:rPr>
          <w:tab/>
        </w:r>
        <w:r w:rsidR="00130B5E">
          <w:rPr>
            <w:noProof/>
            <w:webHidden/>
          </w:rPr>
          <w:fldChar w:fldCharType="begin"/>
        </w:r>
        <w:r w:rsidR="00130B5E">
          <w:rPr>
            <w:noProof/>
            <w:webHidden/>
          </w:rPr>
          <w:instrText xml:space="preserve"> PAGEREF _Toc332960002 \h </w:instrText>
        </w:r>
        <w:r w:rsidR="00130B5E">
          <w:rPr>
            <w:noProof/>
            <w:webHidden/>
          </w:rPr>
        </w:r>
        <w:r w:rsidR="00130B5E">
          <w:rPr>
            <w:noProof/>
            <w:webHidden/>
          </w:rPr>
          <w:fldChar w:fldCharType="separate"/>
        </w:r>
        <w:r w:rsidR="00130B5E">
          <w:rPr>
            <w:noProof/>
            <w:webHidden/>
          </w:rPr>
          <w:t>10</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60003" w:history="1">
        <w:r w:rsidR="00130B5E" w:rsidRPr="002703DF">
          <w:rPr>
            <w:rStyle w:val="Hyperlink"/>
            <w:noProof/>
          </w:rPr>
          <w:t>5. Food Risk Assessment Principles Internationally</w:t>
        </w:r>
        <w:r w:rsidR="00130B5E">
          <w:rPr>
            <w:noProof/>
            <w:webHidden/>
          </w:rPr>
          <w:tab/>
        </w:r>
        <w:r w:rsidR="00130B5E">
          <w:rPr>
            <w:noProof/>
            <w:webHidden/>
          </w:rPr>
          <w:fldChar w:fldCharType="begin"/>
        </w:r>
        <w:r w:rsidR="00130B5E">
          <w:rPr>
            <w:noProof/>
            <w:webHidden/>
          </w:rPr>
          <w:instrText xml:space="preserve"> PAGEREF _Toc332960003 \h </w:instrText>
        </w:r>
        <w:r w:rsidR="00130B5E">
          <w:rPr>
            <w:noProof/>
            <w:webHidden/>
          </w:rPr>
        </w:r>
        <w:r w:rsidR="00130B5E">
          <w:rPr>
            <w:noProof/>
            <w:webHidden/>
          </w:rPr>
          <w:fldChar w:fldCharType="separate"/>
        </w:r>
        <w:r w:rsidR="00130B5E">
          <w:rPr>
            <w:noProof/>
            <w:webHidden/>
          </w:rPr>
          <w:t>11</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04" w:history="1">
        <w:r w:rsidR="00130B5E" w:rsidRPr="002703DF">
          <w:rPr>
            <w:rStyle w:val="Hyperlink"/>
            <w:noProof/>
            <w:lang w:val="en-GB"/>
          </w:rPr>
          <w:t>5.1. Risk Assessment in the Context of Risk Analysis</w:t>
        </w:r>
        <w:r w:rsidR="00130B5E">
          <w:rPr>
            <w:noProof/>
            <w:webHidden/>
          </w:rPr>
          <w:tab/>
        </w:r>
        <w:r w:rsidR="00130B5E">
          <w:rPr>
            <w:noProof/>
            <w:webHidden/>
          </w:rPr>
          <w:fldChar w:fldCharType="begin"/>
        </w:r>
        <w:r w:rsidR="00130B5E">
          <w:rPr>
            <w:noProof/>
            <w:webHidden/>
          </w:rPr>
          <w:instrText xml:space="preserve"> PAGEREF _Toc332960004 \h </w:instrText>
        </w:r>
        <w:r w:rsidR="00130B5E">
          <w:rPr>
            <w:noProof/>
            <w:webHidden/>
          </w:rPr>
        </w:r>
        <w:r w:rsidR="00130B5E">
          <w:rPr>
            <w:noProof/>
            <w:webHidden/>
          </w:rPr>
          <w:fldChar w:fldCharType="separate"/>
        </w:r>
        <w:r w:rsidR="00130B5E">
          <w:rPr>
            <w:noProof/>
            <w:webHidden/>
          </w:rPr>
          <w:t>11</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05" w:history="1">
        <w:r w:rsidR="00130B5E" w:rsidRPr="002703DF">
          <w:rPr>
            <w:rStyle w:val="Hyperlink"/>
            <w:noProof/>
          </w:rPr>
          <w:t>5.2. Risk Assessment principles and methods:</w:t>
        </w:r>
        <w:r w:rsidR="00130B5E">
          <w:rPr>
            <w:noProof/>
            <w:webHidden/>
          </w:rPr>
          <w:tab/>
        </w:r>
        <w:r w:rsidR="00130B5E">
          <w:rPr>
            <w:noProof/>
            <w:webHidden/>
          </w:rPr>
          <w:fldChar w:fldCharType="begin"/>
        </w:r>
        <w:r w:rsidR="00130B5E">
          <w:rPr>
            <w:noProof/>
            <w:webHidden/>
          </w:rPr>
          <w:instrText xml:space="preserve"> PAGEREF _Toc332960005 \h </w:instrText>
        </w:r>
        <w:r w:rsidR="00130B5E">
          <w:rPr>
            <w:noProof/>
            <w:webHidden/>
          </w:rPr>
        </w:r>
        <w:r w:rsidR="00130B5E">
          <w:rPr>
            <w:noProof/>
            <w:webHidden/>
          </w:rPr>
          <w:fldChar w:fldCharType="separate"/>
        </w:r>
        <w:r w:rsidR="00130B5E">
          <w:rPr>
            <w:noProof/>
            <w:webHidden/>
          </w:rPr>
          <w:t>12</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60006" w:history="1">
        <w:r w:rsidR="00130B5E" w:rsidRPr="002703DF">
          <w:rPr>
            <w:rStyle w:val="Hyperlink"/>
            <w:noProof/>
          </w:rPr>
          <w:t>6. FSANZ Food Risk Assessment</w:t>
        </w:r>
        <w:r w:rsidR="00130B5E">
          <w:rPr>
            <w:noProof/>
            <w:webHidden/>
          </w:rPr>
          <w:tab/>
        </w:r>
        <w:r w:rsidR="00130B5E">
          <w:rPr>
            <w:noProof/>
            <w:webHidden/>
          </w:rPr>
          <w:fldChar w:fldCharType="begin"/>
        </w:r>
        <w:r w:rsidR="00130B5E">
          <w:rPr>
            <w:noProof/>
            <w:webHidden/>
          </w:rPr>
          <w:instrText xml:space="preserve"> PAGEREF _Toc332960006 \h </w:instrText>
        </w:r>
        <w:r w:rsidR="00130B5E">
          <w:rPr>
            <w:noProof/>
            <w:webHidden/>
          </w:rPr>
        </w:r>
        <w:r w:rsidR="00130B5E">
          <w:rPr>
            <w:noProof/>
            <w:webHidden/>
          </w:rPr>
          <w:fldChar w:fldCharType="separate"/>
        </w:r>
        <w:r w:rsidR="00130B5E">
          <w:rPr>
            <w:noProof/>
            <w:webHidden/>
          </w:rPr>
          <w:t>13</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07" w:history="1">
        <w:r w:rsidR="00130B5E" w:rsidRPr="002703DF">
          <w:rPr>
            <w:rStyle w:val="Hyperlink"/>
            <w:noProof/>
          </w:rPr>
          <w:t>6.1 Principle Processes Leading to a Risk Assessment</w:t>
        </w:r>
        <w:r w:rsidR="00130B5E">
          <w:rPr>
            <w:noProof/>
            <w:webHidden/>
          </w:rPr>
          <w:tab/>
        </w:r>
        <w:r w:rsidR="00130B5E">
          <w:rPr>
            <w:noProof/>
            <w:webHidden/>
          </w:rPr>
          <w:fldChar w:fldCharType="begin"/>
        </w:r>
        <w:r w:rsidR="00130B5E">
          <w:rPr>
            <w:noProof/>
            <w:webHidden/>
          </w:rPr>
          <w:instrText xml:space="preserve"> PAGEREF _Toc332960007 \h </w:instrText>
        </w:r>
        <w:r w:rsidR="00130B5E">
          <w:rPr>
            <w:noProof/>
            <w:webHidden/>
          </w:rPr>
        </w:r>
        <w:r w:rsidR="00130B5E">
          <w:rPr>
            <w:noProof/>
            <w:webHidden/>
          </w:rPr>
          <w:fldChar w:fldCharType="separate"/>
        </w:r>
        <w:r w:rsidR="00130B5E">
          <w:rPr>
            <w:noProof/>
            <w:webHidden/>
          </w:rPr>
          <w:t>14</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08" w:history="1">
        <w:r w:rsidR="00130B5E" w:rsidRPr="002703DF">
          <w:rPr>
            <w:rStyle w:val="Hyperlink"/>
            <w:noProof/>
          </w:rPr>
          <w:t>6.2. Risk Assessments covered by FSANZ</w:t>
        </w:r>
        <w:r w:rsidR="00130B5E">
          <w:rPr>
            <w:noProof/>
            <w:webHidden/>
          </w:rPr>
          <w:tab/>
        </w:r>
        <w:r w:rsidR="00130B5E">
          <w:rPr>
            <w:noProof/>
            <w:webHidden/>
          </w:rPr>
          <w:fldChar w:fldCharType="begin"/>
        </w:r>
        <w:r w:rsidR="00130B5E">
          <w:rPr>
            <w:noProof/>
            <w:webHidden/>
          </w:rPr>
          <w:instrText xml:space="preserve"> PAGEREF _Toc332960008 \h </w:instrText>
        </w:r>
        <w:r w:rsidR="00130B5E">
          <w:rPr>
            <w:noProof/>
            <w:webHidden/>
          </w:rPr>
        </w:r>
        <w:r w:rsidR="00130B5E">
          <w:rPr>
            <w:noProof/>
            <w:webHidden/>
          </w:rPr>
          <w:fldChar w:fldCharType="separate"/>
        </w:r>
        <w:r w:rsidR="00130B5E">
          <w:rPr>
            <w:noProof/>
            <w:webHidden/>
          </w:rPr>
          <w:t>15</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09" w:history="1">
        <w:r w:rsidR="00130B5E" w:rsidRPr="002703DF">
          <w:rPr>
            <w:rStyle w:val="Hyperlink"/>
            <w:noProof/>
          </w:rPr>
          <w:t>6.2.1. Microbiological Risk Assessments:</w:t>
        </w:r>
        <w:r w:rsidR="00130B5E">
          <w:rPr>
            <w:noProof/>
            <w:webHidden/>
          </w:rPr>
          <w:tab/>
        </w:r>
        <w:r w:rsidR="00130B5E">
          <w:rPr>
            <w:noProof/>
            <w:webHidden/>
          </w:rPr>
          <w:fldChar w:fldCharType="begin"/>
        </w:r>
        <w:r w:rsidR="00130B5E">
          <w:rPr>
            <w:noProof/>
            <w:webHidden/>
          </w:rPr>
          <w:instrText xml:space="preserve"> PAGEREF _Toc332960009 \h </w:instrText>
        </w:r>
        <w:r w:rsidR="00130B5E">
          <w:rPr>
            <w:noProof/>
            <w:webHidden/>
          </w:rPr>
        </w:r>
        <w:r w:rsidR="00130B5E">
          <w:rPr>
            <w:noProof/>
            <w:webHidden/>
          </w:rPr>
          <w:fldChar w:fldCharType="separate"/>
        </w:r>
        <w:r w:rsidR="00130B5E">
          <w:rPr>
            <w:noProof/>
            <w:webHidden/>
          </w:rPr>
          <w:t>15</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10" w:history="1">
        <w:r w:rsidR="00130B5E" w:rsidRPr="002703DF">
          <w:rPr>
            <w:rStyle w:val="Hyperlink"/>
            <w:noProof/>
          </w:rPr>
          <w:t>6.2.2. Chemical Risk Assessments:</w:t>
        </w:r>
        <w:r w:rsidR="00130B5E">
          <w:rPr>
            <w:noProof/>
            <w:webHidden/>
          </w:rPr>
          <w:tab/>
        </w:r>
        <w:r w:rsidR="00130B5E">
          <w:rPr>
            <w:noProof/>
            <w:webHidden/>
          </w:rPr>
          <w:fldChar w:fldCharType="begin"/>
        </w:r>
        <w:r w:rsidR="00130B5E">
          <w:rPr>
            <w:noProof/>
            <w:webHidden/>
          </w:rPr>
          <w:instrText xml:space="preserve"> PAGEREF _Toc332960010 \h </w:instrText>
        </w:r>
        <w:r w:rsidR="00130B5E">
          <w:rPr>
            <w:noProof/>
            <w:webHidden/>
          </w:rPr>
        </w:r>
        <w:r w:rsidR="00130B5E">
          <w:rPr>
            <w:noProof/>
            <w:webHidden/>
          </w:rPr>
          <w:fldChar w:fldCharType="separate"/>
        </w:r>
        <w:r w:rsidR="00130B5E">
          <w:rPr>
            <w:noProof/>
            <w:webHidden/>
          </w:rPr>
          <w:t>15</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11" w:history="1">
        <w:r w:rsidR="00130B5E" w:rsidRPr="002703DF">
          <w:rPr>
            <w:rStyle w:val="Hyperlink"/>
            <w:noProof/>
          </w:rPr>
          <w:t>6.2.3. Genetically Modified Organisms (and products thereof):</w:t>
        </w:r>
        <w:r w:rsidR="00130B5E">
          <w:rPr>
            <w:noProof/>
            <w:webHidden/>
          </w:rPr>
          <w:tab/>
        </w:r>
        <w:r w:rsidR="00130B5E">
          <w:rPr>
            <w:noProof/>
            <w:webHidden/>
          </w:rPr>
          <w:fldChar w:fldCharType="begin"/>
        </w:r>
        <w:r w:rsidR="00130B5E">
          <w:rPr>
            <w:noProof/>
            <w:webHidden/>
          </w:rPr>
          <w:instrText xml:space="preserve"> PAGEREF _Toc332960011 \h </w:instrText>
        </w:r>
        <w:r w:rsidR="00130B5E">
          <w:rPr>
            <w:noProof/>
            <w:webHidden/>
          </w:rPr>
        </w:r>
        <w:r w:rsidR="00130B5E">
          <w:rPr>
            <w:noProof/>
            <w:webHidden/>
          </w:rPr>
          <w:fldChar w:fldCharType="separate"/>
        </w:r>
        <w:r w:rsidR="00130B5E">
          <w:rPr>
            <w:noProof/>
            <w:webHidden/>
          </w:rPr>
          <w:t>16</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12" w:history="1">
        <w:r w:rsidR="00130B5E" w:rsidRPr="002703DF">
          <w:rPr>
            <w:rStyle w:val="Hyperlink"/>
            <w:noProof/>
          </w:rPr>
          <w:t>6.2.4. Production Process:</w:t>
        </w:r>
        <w:r w:rsidR="00130B5E">
          <w:rPr>
            <w:noProof/>
            <w:webHidden/>
          </w:rPr>
          <w:tab/>
        </w:r>
        <w:r w:rsidR="00130B5E">
          <w:rPr>
            <w:noProof/>
            <w:webHidden/>
          </w:rPr>
          <w:fldChar w:fldCharType="begin"/>
        </w:r>
        <w:r w:rsidR="00130B5E">
          <w:rPr>
            <w:noProof/>
            <w:webHidden/>
          </w:rPr>
          <w:instrText xml:space="preserve"> PAGEREF _Toc332960012 \h </w:instrText>
        </w:r>
        <w:r w:rsidR="00130B5E">
          <w:rPr>
            <w:noProof/>
            <w:webHidden/>
          </w:rPr>
        </w:r>
        <w:r w:rsidR="00130B5E">
          <w:rPr>
            <w:noProof/>
            <w:webHidden/>
          </w:rPr>
          <w:fldChar w:fldCharType="separate"/>
        </w:r>
        <w:r w:rsidR="00130B5E">
          <w:rPr>
            <w:noProof/>
            <w:webHidden/>
          </w:rPr>
          <w:t>17</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13" w:history="1">
        <w:r w:rsidR="00130B5E" w:rsidRPr="002703DF">
          <w:rPr>
            <w:rStyle w:val="Hyperlink"/>
            <w:noProof/>
          </w:rPr>
          <w:t>6.2.5. Public Health Nutrition:</w:t>
        </w:r>
        <w:r w:rsidR="00130B5E">
          <w:rPr>
            <w:noProof/>
            <w:webHidden/>
          </w:rPr>
          <w:tab/>
        </w:r>
        <w:r w:rsidR="00130B5E">
          <w:rPr>
            <w:noProof/>
            <w:webHidden/>
          </w:rPr>
          <w:fldChar w:fldCharType="begin"/>
        </w:r>
        <w:r w:rsidR="00130B5E">
          <w:rPr>
            <w:noProof/>
            <w:webHidden/>
          </w:rPr>
          <w:instrText xml:space="preserve"> PAGEREF _Toc332960013 \h </w:instrText>
        </w:r>
        <w:r w:rsidR="00130B5E">
          <w:rPr>
            <w:noProof/>
            <w:webHidden/>
          </w:rPr>
        </w:r>
        <w:r w:rsidR="00130B5E">
          <w:rPr>
            <w:noProof/>
            <w:webHidden/>
          </w:rPr>
          <w:fldChar w:fldCharType="separate"/>
        </w:r>
        <w:r w:rsidR="00130B5E">
          <w:rPr>
            <w:noProof/>
            <w:webHidden/>
          </w:rPr>
          <w:t>17</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14" w:history="1">
        <w:r w:rsidR="00130B5E" w:rsidRPr="002703DF">
          <w:rPr>
            <w:rStyle w:val="Hyperlink"/>
            <w:noProof/>
          </w:rPr>
          <w:t>6.2.6. Food Consumption, Evaluation and Modelling:</w:t>
        </w:r>
        <w:r w:rsidR="00130B5E">
          <w:rPr>
            <w:noProof/>
            <w:webHidden/>
          </w:rPr>
          <w:tab/>
        </w:r>
        <w:r w:rsidR="00130B5E">
          <w:rPr>
            <w:noProof/>
            <w:webHidden/>
          </w:rPr>
          <w:fldChar w:fldCharType="begin"/>
        </w:r>
        <w:r w:rsidR="00130B5E">
          <w:rPr>
            <w:noProof/>
            <w:webHidden/>
          </w:rPr>
          <w:instrText xml:space="preserve"> PAGEREF _Toc332960014 \h </w:instrText>
        </w:r>
        <w:r w:rsidR="00130B5E">
          <w:rPr>
            <w:noProof/>
            <w:webHidden/>
          </w:rPr>
        </w:r>
        <w:r w:rsidR="00130B5E">
          <w:rPr>
            <w:noProof/>
            <w:webHidden/>
          </w:rPr>
          <w:fldChar w:fldCharType="separate"/>
        </w:r>
        <w:r w:rsidR="00130B5E">
          <w:rPr>
            <w:noProof/>
            <w:webHidden/>
          </w:rPr>
          <w:t>18</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15" w:history="1">
        <w:r w:rsidR="00130B5E" w:rsidRPr="002703DF">
          <w:rPr>
            <w:rStyle w:val="Hyperlink"/>
            <w:noProof/>
          </w:rPr>
          <w:t>6.2.7. Scientific Strategy, International and Surveillance</w:t>
        </w:r>
        <w:r w:rsidR="00130B5E">
          <w:rPr>
            <w:noProof/>
            <w:webHidden/>
          </w:rPr>
          <w:tab/>
        </w:r>
        <w:r w:rsidR="00130B5E">
          <w:rPr>
            <w:noProof/>
            <w:webHidden/>
          </w:rPr>
          <w:fldChar w:fldCharType="begin"/>
        </w:r>
        <w:r w:rsidR="00130B5E">
          <w:rPr>
            <w:noProof/>
            <w:webHidden/>
          </w:rPr>
          <w:instrText xml:space="preserve"> PAGEREF _Toc332960015 \h </w:instrText>
        </w:r>
        <w:r w:rsidR="00130B5E">
          <w:rPr>
            <w:noProof/>
            <w:webHidden/>
          </w:rPr>
        </w:r>
        <w:r w:rsidR="00130B5E">
          <w:rPr>
            <w:noProof/>
            <w:webHidden/>
          </w:rPr>
          <w:fldChar w:fldCharType="separate"/>
        </w:r>
        <w:r w:rsidR="00130B5E">
          <w:rPr>
            <w:noProof/>
            <w:webHidden/>
          </w:rPr>
          <w:t>19</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16" w:history="1">
        <w:r w:rsidR="00130B5E" w:rsidRPr="002703DF">
          <w:rPr>
            <w:rStyle w:val="Hyperlink"/>
            <w:noProof/>
          </w:rPr>
          <w:t>6.2.8. Consumer and Social Science</w:t>
        </w:r>
        <w:r w:rsidR="00130B5E">
          <w:rPr>
            <w:noProof/>
            <w:webHidden/>
          </w:rPr>
          <w:tab/>
        </w:r>
        <w:r w:rsidR="00130B5E">
          <w:rPr>
            <w:noProof/>
            <w:webHidden/>
          </w:rPr>
          <w:fldChar w:fldCharType="begin"/>
        </w:r>
        <w:r w:rsidR="00130B5E">
          <w:rPr>
            <w:noProof/>
            <w:webHidden/>
          </w:rPr>
          <w:instrText xml:space="preserve"> PAGEREF _Toc332960016 \h </w:instrText>
        </w:r>
        <w:r w:rsidR="00130B5E">
          <w:rPr>
            <w:noProof/>
            <w:webHidden/>
          </w:rPr>
        </w:r>
        <w:r w:rsidR="00130B5E">
          <w:rPr>
            <w:noProof/>
            <w:webHidden/>
          </w:rPr>
          <w:fldChar w:fldCharType="separate"/>
        </w:r>
        <w:r w:rsidR="00130B5E">
          <w:rPr>
            <w:noProof/>
            <w:webHidden/>
          </w:rPr>
          <w:t>19</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17" w:history="1">
        <w:r w:rsidR="00130B5E" w:rsidRPr="002703DF">
          <w:rPr>
            <w:rStyle w:val="Hyperlink"/>
            <w:noProof/>
          </w:rPr>
          <w:t>6.2.9. Combined risk assessments:</w:t>
        </w:r>
        <w:r w:rsidR="00130B5E">
          <w:rPr>
            <w:noProof/>
            <w:webHidden/>
          </w:rPr>
          <w:tab/>
        </w:r>
        <w:r w:rsidR="00130B5E">
          <w:rPr>
            <w:noProof/>
            <w:webHidden/>
          </w:rPr>
          <w:fldChar w:fldCharType="begin"/>
        </w:r>
        <w:r w:rsidR="00130B5E">
          <w:rPr>
            <w:noProof/>
            <w:webHidden/>
          </w:rPr>
          <w:instrText xml:space="preserve"> PAGEREF _Toc332960017 \h </w:instrText>
        </w:r>
        <w:r w:rsidR="00130B5E">
          <w:rPr>
            <w:noProof/>
            <w:webHidden/>
          </w:rPr>
        </w:r>
        <w:r w:rsidR="00130B5E">
          <w:rPr>
            <w:noProof/>
            <w:webHidden/>
          </w:rPr>
          <w:fldChar w:fldCharType="separate"/>
        </w:r>
        <w:r w:rsidR="00130B5E">
          <w:rPr>
            <w:noProof/>
            <w:webHidden/>
          </w:rPr>
          <w:t>20</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18" w:history="1">
        <w:r w:rsidR="00130B5E" w:rsidRPr="002703DF">
          <w:rPr>
            <w:rStyle w:val="Hyperlink"/>
            <w:noProof/>
          </w:rPr>
          <w:t>6.2.10. Recommendations for improvement in the risk assessment process and documentation:</w:t>
        </w:r>
        <w:r w:rsidR="00130B5E">
          <w:rPr>
            <w:noProof/>
            <w:webHidden/>
          </w:rPr>
          <w:tab/>
        </w:r>
        <w:r w:rsidR="00130B5E">
          <w:rPr>
            <w:noProof/>
            <w:webHidden/>
          </w:rPr>
          <w:fldChar w:fldCharType="begin"/>
        </w:r>
        <w:r w:rsidR="00130B5E">
          <w:rPr>
            <w:noProof/>
            <w:webHidden/>
          </w:rPr>
          <w:instrText xml:space="preserve"> PAGEREF _Toc332960018 \h </w:instrText>
        </w:r>
        <w:r w:rsidR="00130B5E">
          <w:rPr>
            <w:noProof/>
            <w:webHidden/>
          </w:rPr>
        </w:r>
        <w:r w:rsidR="00130B5E">
          <w:rPr>
            <w:noProof/>
            <w:webHidden/>
          </w:rPr>
          <w:fldChar w:fldCharType="separate"/>
        </w:r>
        <w:r w:rsidR="00130B5E">
          <w:rPr>
            <w:noProof/>
            <w:webHidden/>
          </w:rPr>
          <w:t>20</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19" w:history="1">
        <w:r w:rsidR="00130B5E" w:rsidRPr="002703DF">
          <w:rPr>
            <w:rStyle w:val="Hyperlink"/>
            <w:noProof/>
          </w:rPr>
          <w:t>6.3. Scientific Competence</w:t>
        </w:r>
        <w:r w:rsidR="00130B5E">
          <w:rPr>
            <w:noProof/>
            <w:webHidden/>
          </w:rPr>
          <w:tab/>
        </w:r>
        <w:r w:rsidR="00130B5E">
          <w:rPr>
            <w:noProof/>
            <w:webHidden/>
          </w:rPr>
          <w:fldChar w:fldCharType="begin"/>
        </w:r>
        <w:r w:rsidR="00130B5E">
          <w:rPr>
            <w:noProof/>
            <w:webHidden/>
          </w:rPr>
          <w:instrText xml:space="preserve"> PAGEREF _Toc332960019 \h </w:instrText>
        </w:r>
        <w:r w:rsidR="00130B5E">
          <w:rPr>
            <w:noProof/>
            <w:webHidden/>
          </w:rPr>
        </w:r>
        <w:r w:rsidR="00130B5E">
          <w:rPr>
            <w:noProof/>
            <w:webHidden/>
          </w:rPr>
          <w:fldChar w:fldCharType="separate"/>
        </w:r>
        <w:r w:rsidR="00130B5E">
          <w:rPr>
            <w:noProof/>
            <w:webHidden/>
          </w:rPr>
          <w:t>21</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20" w:history="1">
        <w:r w:rsidR="00130B5E" w:rsidRPr="002703DF">
          <w:rPr>
            <w:rStyle w:val="Hyperlink"/>
            <w:noProof/>
          </w:rPr>
          <w:t>6.3.1. Recommendations related to scientific competence:</w:t>
        </w:r>
        <w:r w:rsidR="00130B5E">
          <w:rPr>
            <w:noProof/>
            <w:webHidden/>
          </w:rPr>
          <w:tab/>
        </w:r>
        <w:r w:rsidR="00130B5E">
          <w:rPr>
            <w:noProof/>
            <w:webHidden/>
          </w:rPr>
          <w:fldChar w:fldCharType="begin"/>
        </w:r>
        <w:r w:rsidR="00130B5E">
          <w:rPr>
            <w:noProof/>
            <w:webHidden/>
          </w:rPr>
          <w:instrText xml:space="preserve"> PAGEREF _Toc332960020 \h </w:instrText>
        </w:r>
        <w:r w:rsidR="00130B5E">
          <w:rPr>
            <w:noProof/>
            <w:webHidden/>
          </w:rPr>
        </w:r>
        <w:r w:rsidR="00130B5E">
          <w:rPr>
            <w:noProof/>
            <w:webHidden/>
          </w:rPr>
          <w:fldChar w:fldCharType="separate"/>
        </w:r>
        <w:r w:rsidR="00130B5E">
          <w:rPr>
            <w:noProof/>
            <w:webHidden/>
          </w:rPr>
          <w:t>22</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21" w:history="1">
        <w:r w:rsidR="00130B5E" w:rsidRPr="002703DF">
          <w:rPr>
            <w:rStyle w:val="Hyperlink"/>
            <w:noProof/>
          </w:rPr>
          <w:t>6.4. Transparency of the process (including prioritization)</w:t>
        </w:r>
        <w:r w:rsidR="00130B5E">
          <w:rPr>
            <w:noProof/>
            <w:webHidden/>
          </w:rPr>
          <w:tab/>
        </w:r>
        <w:r w:rsidR="00130B5E">
          <w:rPr>
            <w:noProof/>
            <w:webHidden/>
          </w:rPr>
          <w:fldChar w:fldCharType="begin"/>
        </w:r>
        <w:r w:rsidR="00130B5E">
          <w:rPr>
            <w:noProof/>
            <w:webHidden/>
          </w:rPr>
          <w:instrText xml:space="preserve"> PAGEREF _Toc332960021 \h </w:instrText>
        </w:r>
        <w:r w:rsidR="00130B5E">
          <w:rPr>
            <w:noProof/>
            <w:webHidden/>
          </w:rPr>
        </w:r>
        <w:r w:rsidR="00130B5E">
          <w:rPr>
            <w:noProof/>
            <w:webHidden/>
          </w:rPr>
          <w:fldChar w:fldCharType="separate"/>
        </w:r>
        <w:r w:rsidR="00130B5E">
          <w:rPr>
            <w:noProof/>
            <w:webHidden/>
          </w:rPr>
          <w:t>22</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22" w:history="1">
        <w:r w:rsidR="00130B5E" w:rsidRPr="002703DF">
          <w:rPr>
            <w:rStyle w:val="Hyperlink"/>
            <w:noProof/>
          </w:rPr>
          <w:t>6.4.1. Recommendation regarding transparency and prioritization:</w:t>
        </w:r>
        <w:r w:rsidR="00130B5E">
          <w:rPr>
            <w:noProof/>
            <w:webHidden/>
          </w:rPr>
          <w:tab/>
        </w:r>
        <w:r w:rsidR="00130B5E">
          <w:rPr>
            <w:noProof/>
            <w:webHidden/>
          </w:rPr>
          <w:fldChar w:fldCharType="begin"/>
        </w:r>
        <w:r w:rsidR="00130B5E">
          <w:rPr>
            <w:noProof/>
            <w:webHidden/>
          </w:rPr>
          <w:instrText xml:space="preserve"> PAGEREF _Toc332960022 \h </w:instrText>
        </w:r>
        <w:r w:rsidR="00130B5E">
          <w:rPr>
            <w:noProof/>
            <w:webHidden/>
          </w:rPr>
        </w:r>
        <w:r w:rsidR="00130B5E">
          <w:rPr>
            <w:noProof/>
            <w:webHidden/>
          </w:rPr>
          <w:fldChar w:fldCharType="separate"/>
        </w:r>
        <w:r w:rsidR="00130B5E">
          <w:rPr>
            <w:noProof/>
            <w:webHidden/>
          </w:rPr>
          <w:t>23</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23" w:history="1">
        <w:r w:rsidR="00130B5E" w:rsidRPr="002703DF">
          <w:rPr>
            <w:rStyle w:val="Hyperlink"/>
            <w:noProof/>
          </w:rPr>
          <w:t>6.5. Soundness of the process and the applied principles</w:t>
        </w:r>
        <w:r w:rsidR="00130B5E">
          <w:rPr>
            <w:noProof/>
            <w:webHidden/>
          </w:rPr>
          <w:tab/>
        </w:r>
        <w:r w:rsidR="00130B5E">
          <w:rPr>
            <w:noProof/>
            <w:webHidden/>
          </w:rPr>
          <w:fldChar w:fldCharType="begin"/>
        </w:r>
        <w:r w:rsidR="00130B5E">
          <w:rPr>
            <w:noProof/>
            <w:webHidden/>
          </w:rPr>
          <w:instrText xml:space="preserve"> PAGEREF _Toc332960023 \h </w:instrText>
        </w:r>
        <w:r w:rsidR="00130B5E">
          <w:rPr>
            <w:noProof/>
            <w:webHidden/>
          </w:rPr>
        </w:r>
        <w:r w:rsidR="00130B5E">
          <w:rPr>
            <w:noProof/>
            <w:webHidden/>
          </w:rPr>
          <w:fldChar w:fldCharType="separate"/>
        </w:r>
        <w:r w:rsidR="00130B5E">
          <w:rPr>
            <w:noProof/>
            <w:webHidden/>
          </w:rPr>
          <w:t>23</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24" w:history="1">
        <w:r w:rsidR="00130B5E" w:rsidRPr="002703DF">
          <w:rPr>
            <w:rStyle w:val="Hyperlink"/>
            <w:noProof/>
          </w:rPr>
          <w:t>6.6. Inclusiveness</w:t>
        </w:r>
        <w:r w:rsidR="00130B5E">
          <w:rPr>
            <w:noProof/>
            <w:webHidden/>
          </w:rPr>
          <w:tab/>
        </w:r>
        <w:r w:rsidR="00130B5E">
          <w:rPr>
            <w:noProof/>
            <w:webHidden/>
          </w:rPr>
          <w:fldChar w:fldCharType="begin"/>
        </w:r>
        <w:r w:rsidR="00130B5E">
          <w:rPr>
            <w:noProof/>
            <w:webHidden/>
          </w:rPr>
          <w:instrText xml:space="preserve"> PAGEREF _Toc332960024 \h </w:instrText>
        </w:r>
        <w:r w:rsidR="00130B5E">
          <w:rPr>
            <w:noProof/>
            <w:webHidden/>
          </w:rPr>
        </w:r>
        <w:r w:rsidR="00130B5E">
          <w:rPr>
            <w:noProof/>
            <w:webHidden/>
          </w:rPr>
          <w:fldChar w:fldCharType="separate"/>
        </w:r>
        <w:r w:rsidR="00130B5E">
          <w:rPr>
            <w:noProof/>
            <w:webHidden/>
          </w:rPr>
          <w:t>24</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25" w:history="1">
        <w:r w:rsidR="00130B5E" w:rsidRPr="002703DF">
          <w:rPr>
            <w:rStyle w:val="Hyperlink"/>
            <w:noProof/>
          </w:rPr>
          <w:t>6.7. Internal review and approval process</w:t>
        </w:r>
        <w:r w:rsidR="00130B5E">
          <w:rPr>
            <w:noProof/>
            <w:webHidden/>
          </w:rPr>
          <w:tab/>
        </w:r>
        <w:r w:rsidR="00130B5E">
          <w:rPr>
            <w:noProof/>
            <w:webHidden/>
          </w:rPr>
          <w:fldChar w:fldCharType="begin"/>
        </w:r>
        <w:r w:rsidR="00130B5E">
          <w:rPr>
            <w:noProof/>
            <w:webHidden/>
          </w:rPr>
          <w:instrText xml:space="preserve"> PAGEREF _Toc332960025 \h </w:instrText>
        </w:r>
        <w:r w:rsidR="00130B5E">
          <w:rPr>
            <w:noProof/>
            <w:webHidden/>
          </w:rPr>
        </w:r>
        <w:r w:rsidR="00130B5E">
          <w:rPr>
            <w:noProof/>
            <w:webHidden/>
          </w:rPr>
          <w:fldChar w:fldCharType="separate"/>
        </w:r>
        <w:r w:rsidR="00130B5E">
          <w:rPr>
            <w:noProof/>
            <w:webHidden/>
          </w:rPr>
          <w:t>24</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26" w:history="1">
        <w:r w:rsidR="00130B5E" w:rsidRPr="002703DF">
          <w:rPr>
            <w:rStyle w:val="Hyperlink"/>
            <w:noProof/>
          </w:rPr>
          <w:t>6.8. External peer-review process</w:t>
        </w:r>
        <w:r w:rsidR="00130B5E">
          <w:rPr>
            <w:noProof/>
            <w:webHidden/>
          </w:rPr>
          <w:tab/>
        </w:r>
        <w:r w:rsidR="00130B5E">
          <w:rPr>
            <w:noProof/>
            <w:webHidden/>
          </w:rPr>
          <w:fldChar w:fldCharType="begin"/>
        </w:r>
        <w:r w:rsidR="00130B5E">
          <w:rPr>
            <w:noProof/>
            <w:webHidden/>
          </w:rPr>
          <w:instrText xml:space="preserve"> PAGEREF _Toc332960026 \h </w:instrText>
        </w:r>
        <w:r w:rsidR="00130B5E">
          <w:rPr>
            <w:noProof/>
            <w:webHidden/>
          </w:rPr>
        </w:r>
        <w:r w:rsidR="00130B5E">
          <w:rPr>
            <w:noProof/>
            <w:webHidden/>
          </w:rPr>
          <w:fldChar w:fldCharType="separate"/>
        </w:r>
        <w:r w:rsidR="00130B5E">
          <w:rPr>
            <w:noProof/>
            <w:webHidden/>
          </w:rPr>
          <w:t>25</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27" w:history="1">
        <w:r w:rsidR="00130B5E" w:rsidRPr="002703DF">
          <w:rPr>
            <w:rStyle w:val="Hyperlink"/>
            <w:noProof/>
          </w:rPr>
          <w:t>6.8.1. Recommendations regarding external peer reviews:</w:t>
        </w:r>
        <w:r w:rsidR="00130B5E">
          <w:rPr>
            <w:noProof/>
            <w:webHidden/>
          </w:rPr>
          <w:tab/>
        </w:r>
        <w:r w:rsidR="00130B5E">
          <w:rPr>
            <w:noProof/>
            <w:webHidden/>
          </w:rPr>
          <w:fldChar w:fldCharType="begin"/>
        </w:r>
        <w:r w:rsidR="00130B5E">
          <w:rPr>
            <w:noProof/>
            <w:webHidden/>
          </w:rPr>
          <w:instrText xml:space="preserve"> PAGEREF _Toc332960027 \h </w:instrText>
        </w:r>
        <w:r w:rsidR="00130B5E">
          <w:rPr>
            <w:noProof/>
            <w:webHidden/>
          </w:rPr>
        </w:r>
        <w:r w:rsidR="00130B5E">
          <w:rPr>
            <w:noProof/>
            <w:webHidden/>
          </w:rPr>
          <w:fldChar w:fldCharType="separate"/>
        </w:r>
        <w:r w:rsidR="00130B5E">
          <w:rPr>
            <w:noProof/>
            <w:webHidden/>
          </w:rPr>
          <w:t>25</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60028" w:history="1">
        <w:r w:rsidR="00130B5E" w:rsidRPr="002703DF">
          <w:rPr>
            <w:rStyle w:val="Hyperlink"/>
            <w:noProof/>
          </w:rPr>
          <w:t>7. Risk Management aspects</w:t>
        </w:r>
        <w:r w:rsidR="00130B5E">
          <w:rPr>
            <w:noProof/>
            <w:webHidden/>
          </w:rPr>
          <w:tab/>
        </w:r>
        <w:r w:rsidR="00130B5E">
          <w:rPr>
            <w:noProof/>
            <w:webHidden/>
          </w:rPr>
          <w:fldChar w:fldCharType="begin"/>
        </w:r>
        <w:r w:rsidR="00130B5E">
          <w:rPr>
            <w:noProof/>
            <w:webHidden/>
          </w:rPr>
          <w:instrText xml:space="preserve"> PAGEREF _Toc332960028 \h </w:instrText>
        </w:r>
        <w:r w:rsidR="00130B5E">
          <w:rPr>
            <w:noProof/>
            <w:webHidden/>
          </w:rPr>
        </w:r>
        <w:r w:rsidR="00130B5E">
          <w:rPr>
            <w:noProof/>
            <w:webHidden/>
          </w:rPr>
          <w:fldChar w:fldCharType="separate"/>
        </w:r>
        <w:r w:rsidR="00130B5E">
          <w:rPr>
            <w:noProof/>
            <w:webHidden/>
          </w:rPr>
          <w:t>25</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29" w:history="1">
        <w:r w:rsidR="00130B5E" w:rsidRPr="002703DF">
          <w:rPr>
            <w:rStyle w:val="Hyperlink"/>
            <w:noProof/>
          </w:rPr>
          <w:t>7.1. FSANZ Risk Management Views on the Risk Assessments</w:t>
        </w:r>
        <w:r w:rsidR="00130B5E">
          <w:rPr>
            <w:noProof/>
            <w:webHidden/>
          </w:rPr>
          <w:tab/>
        </w:r>
        <w:r w:rsidR="00130B5E">
          <w:rPr>
            <w:noProof/>
            <w:webHidden/>
          </w:rPr>
          <w:fldChar w:fldCharType="begin"/>
        </w:r>
        <w:r w:rsidR="00130B5E">
          <w:rPr>
            <w:noProof/>
            <w:webHidden/>
          </w:rPr>
          <w:instrText xml:space="preserve"> PAGEREF _Toc332960029 \h </w:instrText>
        </w:r>
        <w:r w:rsidR="00130B5E">
          <w:rPr>
            <w:noProof/>
            <w:webHidden/>
          </w:rPr>
        </w:r>
        <w:r w:rsidR="00130B5E">
          <w:rPr>
            <w:noProof/>
            <w:webHidden/>
          </w:rPr>
          <w:fldChar w:fldCharType="separate"/>
        </w:r>
        <w:r w:rsidR="00130B5E">
          <w:rPr>
            <w:noProof/>
            <w:webHidden/>
          </w:rPr>
          <w:t>26</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30" w:history="1">
        <w:r w:rsidR="00130B5E" w:rsidRPr="002703DF">
          <w:rPr>
            <w:rStyle w:val="Hyperlink"/>
            <w:noProof/>
          </w:rPr>
          <w:t>7.2. Interaction of Risk Assessment and Risk Management</w:t>
        </w:r>
        <w:r w:rsidR="00130B5E">
          <w:rPr>
            <w:noProof/>
            <w:webHidden/>
          </w:rPr>
          <w:tab/>
        </w:r>
        <w:r w:rsidR="00130B5E">
          <w:rPr>
            <w:noProof/>
            <w:webHidden/>
          </w:rPr>
          <w:fldChar w:fldCharType="begin"/>
        </w:r>
        <w:r w:rsidR="00130B5E">
          <w:rPr>
            <w:noProof/>
            <w:webHidden/>
          </w:rPr>
          <w:instrText xml:space="preserve"> PAGEREF _Toc332960030 \h </w:instrText>
        </w:r>
        <w:r w:rsidR="00130B5E">
          <w:rPr>
            <w:noProof/>
            <w:webHidden/>
          </w:rPr>
        </w:r>
        <w:r w:rsidR="00130B5E">
          <w:rPr>
            <w:noProof/>
            <w:webHidden/>
          </w:rPr>
          <w:fldChar w:fldCharType="separate"/>
        </w:r>
        <w:r w:rsidR="00130B5E">
          <w:rPr>
            <w:noProof/>
            <w:webHidden/>
          </w:rPr>
          <w:t>27</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31" w:history="1">
        <w:r w:rsidR="00130B5E" w:rsidRPr="002703DF">
          <w:rPr>
            <w:rStyle w:val="Hyperlink"/>
            <w:noProof/>
          </w:rPr>
          <w:t>7.2.1. Recommendations regarding the interaction between risk assessment and risk management:</w:t>
        </w:r>
        <w:r w:rsidR="00130B5E">
          <w:rPr>
            <w:noProof/>
            <w:webHidden/>
          </w:rPr>
          <w:tab/>
        </w:r>
        <w:r w:rsidR="00130B5E">
          <w:rPr>
            <w:noProof/>
            <w:webHidden/>
          </w:rPr>
          <w:fldChar w:fldCharType="begin"/>
        </w:r>
        <w:r w:rsidR="00130B5E">
          <w:rPr>
            <w:noProof/>
            <w:webHidden/>
          </w:rPr>
          <w:instrText xml:space="preserve"> PAGEREF _Toc332960031 \h </w:instrText>
        </w:r>
        <w:r w:rsidR="00130B5E">
          <w:rPr>
            <w:noProof/>
            <w:webHidden/>
          </w:rPr>
        </w:r>
        <w:r w:rsidR="00130B5E">
          <w:rPr>
            <w:noProof/>
            <w:webHidden/>
          </w:rPr>
          <w:fldChar w:fldCharType="separate"/>
        </w:r>
        <w:r w:rsidR="00130B5E">
          <w:rPr>
            <w:noProof/>
            <w:webHidden/>
          </w:rPr>
          <w:t>28</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60032" w:history="1">
        <w:r w:rsidR="00130B5E" w:rsidRPr="002703DF">
          <w:rPr>
            <w:rStyle w:val="Hyperlink"/>
            <w:noProof/>
          </w:rPr>
          <w:t>8. Stakeholder views</w:t>
        </w:r>
        <w:r w:rsidR="00130B5E">
          <w:rPr>
            <w:noProof/>
            <w:webHidden/>
          </w:rPr>
          <w:tab/>
        </w:r>
        <w:r w:rsidR="00130B5E">
          <w:rPr>
            <w:noProof/>
            <w:webHidden/>
          </w:rPr>
          <w:fldChar w:fldCharType="begin"/>
        </w:r>
        <w:r w:rsidR="00130B5E">
          <w:rPr>
            <w:noProof/>
            <w:webHidden/>
          </w:rPr>
          <w:instrText xml:space="preserve"> PAGEREF _Toc332960032 \h </w:instrText>
        </w:r>
        <w:r w:rsidR="00130B5E">
          <w:rPr>
            <w:noProof/>
            <w:webHidden/>
          </w:rPr>
        </w:r>
        <w:r w:rsidR="00130B5E">
          <w:rPr>
            <w:noProof/>
            <w:webHidden/>
          </w:rPr>
          <w:fldChar w:fldCharType="separate"/>
        </w:r>
        <w:r w:rsidR="00130B5E">
          <w:rPr>
            <w:noProof/>
            <w:webHidden/>
          </w:rPr>
          <w:t>28</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33" w:history="1">
        <w:r w:rsidR="00130B5E" w:rsidRPr="002703DF">
          <w:rPr>
            <w:rStyle w:val="Hyperlink"/>
            <w:noProof/>
          </w:rPr>
          <w:t>8.1. States and Territories</w:t>
        </w:r>
        <w:r w:rsidR="00130B5E">
          <w:rPr>
            <w:noProof/>
            <w:webHidden/>
          </w:rPr>
          <w:tab/>
        </w:r>
        <w:r w:rsidR="00130B5E">
          <w:rPr>
            <w:noProof/>
            <w:webHidden/>
          </w:rPr>
          <w:fldChar w:fldCharType="begin"/>
        </w:r>
        <w:r w:rsidR="00130B5E">
          <w:rPr>
            <w:noProof/>
            <w:webHidden/>
          </w:rPr>
          <w:instrText xml:space="preserve"> PAGEREF _Toc332960033 \h </w:instrText>
        </w:r>
        <w:r w:rsidR="00130B5E">
          <w:rPr>
            <w:noProof/>
            <w:webHidden/>
          </w:rPr>
        </w:r>
        <w:r w:rsidR="00130B5E">
          <w:rPr>
            <w:noProof/>
            <w:webHidden/>
          </w:rPr>
          <w:fldChar w:fldCharType="separate"/>
        </w:r>
        <w:r w:rsidR="00130B5E">
          <w:rPr>
            <w:noProof/>
            <w:webHidden/>
          </w:rPr>
          <w:t>28</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34" w:history="1">
        <w:r w:rsidR="00130B5E" w:rsidRPr="002703DF">
          <w:rPr>
            <w:rStyle w:val="Hyperlink"/>
            <w:noProof/>
          </w:rPr>
          <w:t>8.1.1. Recommendation resulting from discussions with stakeholders:</w:t>
        </w:r>
        <w:r w:rsidR="00130B5E">
          <w:rPr>
            <w:noProof/>
            <w:webHidden/>
          </w:rPr>
          <w:tab/>
        </w:r>
        <w:r w:rsidR="00130B5E">
          <w:rPr>
            <w:noProof/>
            <w:webHidden/>
          </w:rPr>
          <w:fldChar w:fldCharType="begin"/>
        </w:r>
        <w:r w:rsidR="00130B5E">
          <w:rPr>
            <w:noProof/>
            <w:webHidden/>
          </w:rPr>
          <w:instrText xml:space="preserve"> PAGEREF _Toc332960034 \h </w:instrText>
        </w:r>
        <w:r w:rsidR="00130B5E">
          <w:rPr>
            <w:noProof/>
            <w:webHidden/>
          </w:rPr>
        </w:r>
        <w:r w:rsidR="00130B5E">
          <w:rPr>
            <w:noProof/>
            <w:webHidden/>
          </w:rPr>
          <w:fldChar w:fldCharType="separate"/>
        </w:r>
        <w:r w:rsidR="00130B5E">
          <w:rPr>
            <w:noProof/>
            <w:webHidden/>
          </w:rPr>
          <w:t>30</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35" w:history="1">
        <w:r w:rsidR="00130B5E" w:rsidRPr="002703DF">
          <w:rPr>
            <w:rStyle w:val="Hyperlink"/>
            <w:noProof/>
          </w:rPr>
          <w:t>8.2. Other Government Agencies</w:t>
        </w:r>
        <w:r w:rsidR="00130B5E">
          <w:rPr>
            <w:noProof/>
            <w:webHidden/>
          </w:rPr>
          <w:tab/>
        </w:r>
        <w:r w:rsidR="00130B5E">
          <w:rPr>
            <w:noProof/>
            <w:webHidden/>
          </w:rPr>
          <w:fldChar w:fldCharType="begin"/>
        </w:r>
        <w:r w:rsidR="00130B5E">
          <w:rPr>
            <w:noProof/>
            <w:webHidden/>
          </w:rPr>
          <w:instrText xml:space="preserve"> PAGEREF _Toc332960035 \h </w:instrText>
        </w:r>
        <w:r w:rsidR="00130B5E">
          <w:rPr>
            <w:noProof/>
            <w:webHidden/>
          </w:rPr>
        </w:r>
        <w:r w:rsidR="00130B5E">
          <w:rPr>
            <w:noProof/>
            <w:webHidden/>
          </w:rPr>
          <w:fldChar w:fldCharType="separate"/>
        </w:r>
        <w:r w:rsidR="00130B5E">
          <w:rPr>
            <w:noProof/>
            <w:webHidden/>
          </w:rPr>
          <w:t>30</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36" w:history="1">
        <w:r w:rsidR="00130B5E" w:rsidRPr="002703DF">
          <w:rPr>
            <w:rStyle w:val="Hyperlink"/>
            <w:noProof/>
          </w:rPr>
          <w:t>NZ MAF</w:t>
        </w:r>
        <w:r w:rsidR="00130B5E">
          <w:rPr>
            <w:noProof/>
            <w:webHidden/>
          </w:rPr>
          <w:tab/>
        </w:r>
        <w:r w:rsidR="00130B5E">
          <w:rPr>
            <w:noProof/>
            <w:webHidden/>
          </w:rPr>
          <w:fldChar w:fldCharType="begin"/>
        </w:r>
        <w:r w:rsidR="00130B5E">
          <w:rPr>
            <w:noProof/>
            <w:webHidden/>
          </w:rPr>
          <w:instrText xml:space="preserve"> PAGEREF _Toc332960036 \h </w:instrText>
        </w:r>
        <w:r w:rsidR="00130B5E">
          <w:rPr>
            <w:noProof/>
            <w:webHidden/>
          </w:rPr>
        </w:r>
        <w:r w:rsidR="00130B5E">
          <w:rPr>
            <w:noProof/>
            <w:webHidden/>
          </w:rPr>
          <w:fldChar w:fldCharType="separate"/>
        </w:r>
        <w:r w:rsidR="00130B5E">
          <w:rPr>
            <w:noProof/>
            <w:webHidden/>
          </w:rPr>
          <w:t>30</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37" w:history="1">
        <w:r w:rsidR="00130B5E" w:rsidRPr="002703DF">
          <w:rPr>
            <w:rStyle w:val="Hyperlink"/>
            <w:noProof/>
          </w:rPr>
          <w:t>DAFF and AQIS</w:t>
        </w:r>
        <w:r w:rsidR="00130B5E">
          <w:rPr>
            <w:noProof/>
            <w:webHidden/>
          </w:rPr>
          <w:tab/>
        </w:r>
        <w:r w:rsidR="00130B5E">
          <w:rPr>
            <w:noProof/>
            <w:webHidden/>
          </w:rPr>
          <w:fldChar w:fldCharType="begin"/>
        </w:r>
        <w:r w:rsidR="00130B5E">
          <w:rPr>
            <w:noProof/>
            <w:webHidden/>
          </w:rPr>
          <w:instrText xml:space="preserve"> PAGEREF _Toc332960037 \h </w:instrText>
        </w:r>
        <w:r w:rsidR="00130B5E">
          <w:rPr>
            <w:noProof/>
            <w:webHidden/>
          </w:rPr>
        </w:r>
        <w:r w:rsidR="00130B5E">
          <w:rPr>
            <w:noProof/>
            <w:webHidden/>
          </w:rPr>
          <w:fldChar w:fldCharType="separate"/>
        </w:r>
        <w:r w:rsidR="00130B5E">
          <w:rPr>
            <w:noProof/>
            <w:webHidden/>
          </w:rPr>
          <w:t>31</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38" w:history="1">
        <w:r w:rsidR="00130B5E" w:rsidRPr="002703DF">
          <w:rPr>
            <w:rStyle w:val="Hyperlink"/>
            <w:noProof/>
          </w:rPr>
          <w:t>APVMA:</w:t>
        </w:r>
        <w:r w:rsidR="00130B5E">
          <w:rPr>
            <w:noProof/>
            <w:webHidden/>
          </w:rPr>
          <w:tab/>
        </w:r>
        <w:r w:rsidR="00130B5E">
          <w:rPr>
            <w:noProof/>
            <w:webHidden/>
          </w:rPr>
          <w:fldChar w:fldCharType="begin"/>
        </w:r>
        <w:r w:rsidR="00130B5E">
          <w:rPr>
            <w:noProof/>
            <w:webHidden/>
          </w:rPr>
          <w:instrText xml:space="preserve"> PAGEREF _Toc332960038 \h </w:instrText>
        </w:r>
        <w:r w:rsidR="00130B5E">
          <w:rPr>
            <w:noProof/>
            <w:webHidden/>
          </w:rPr>
        </w:r>
        <w:r w:rsidR="00130B5E">
          <w:rPr>
            <w:noProof/>
            <w:webHidden/>
          </w:rPr>
          <w:fldChar w:fldCharType="separate"/>
        </w:r>
        <w:r w:rsidR="00130B5E">
          <w:rPr>
            <w:noProof/>
            <w:webHidden/>
          </w:rPr>
          <w:t>32</w:t>
        </w:r>
        <w:r w:rsidR="00130B5E">
          <w:rPr>
            <w:noProof/>
            <w:webHidden/>
          </w:rPr>
          <w:fldChar w:fldCharType="end"/>
        </w:r>
      </w:hyperlink>
    </w:p>
    <w:p w:rsidR="00130B5E" w:rsidRDefault="00CE1E3C">
      <w:pPr>
        <w:pStyle w:val="TOC3"/>
        <w:tabs>
          <w:tab w:val="right" w:leader="dot" w:pos="9182"/>
        </w:tabs>
        <w:rPr>
          <w:rFonts w:asciiTheme="minorHAnsi" w:hAnsiTheme="minorHAnsi" w:cstheme="minorBidi"/>
          <w:noProof/>
          <w:lang w:val="en-US" w:eastAsia="zh-CN"/>
        </w:rPr>
      </w:pPr>
      <w:hyperlink w:anchor="_Toc332960039" w:history="1">
        <w:r w:rsidR="00130B5E" w:rsidRPr="002703DF">
          <w:rPr>
            <w:rStyle w:val="Hyperlink"/>
            <w:noProof/>
          </w:rPr>
          <w:t>Office of the Gene Technology Regulator (OGTR)</w:t>
        </w:r>
        <w:r w:rsidR="00130B5E">
          <w:rPr>
            <w:noProof/>
            <w:webHidden/>
          </w:rPr>
          <w:tab/>
        </w:r>
        <w:r w:rsidR="00130B5E">
          <w:rPr>
            <w:noProof/>
            <w:webHidden/>
          </w:rPr>
          <w:fldChar w:fldCharType="begin"/>
        </w:r>
        <w:r w:rsidR="00130B5E">
          <w:rPr>
            <w:noProof/>
            <w:webHidden/>
          </w:rPr>
          <w:instrText xml:space="preserve"> PAGEREF _Toc332960039 \h </w:instrText>
        </w:r>
        <w:r w:rsidR="00130B5E">
          <w:rPr>
            <w:noProof/>
            <w:webHidden/>
          </w:rPr>
        </w:r>
        <w:r w:rsidR="00130B5E">
          <w:rPr>
            <w:noProof/>
            <w:webHidden/>
          </w:rPr>
          <w:fldChar w:fldCharType="separate"/>
        </w:r>
        <w:r w:rsidR="00130B5E">
          <w:rPr>
            <w:noProof/>
            <w:webHidden/>
          </w:rPr>
          <w:t>33</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40" w:history="1">
        <w:r w:rsidR="00130B5E" w:rsidRPr="002703DF">
          <w:rPr>
            <w:rStyle w:val="Hyperlink"/>
            <w:noProof/>
          </w:rPr>
          <w:t>8.3. Industry</w:t>
        </w:r>
        <w:r w:rsidR="00130B5E">
          <w:rPr>
            <w:noProof/>
            <w:webHidden/>
          </w:rPr>
          <w:tab/>
        </w:r>
        <w:r w:rsidR="00130B5E">
          <w:rPr>
            <w:noProof/>
            <w:webHidden/>
          </w:rPr>
          <w:fldChar w:fldCharType="begin"/>
        </w:r>
        <w:r w:rsidR="00130B5E">
          <w:rPr>
            <w:noProof/>
            <w:webHidden/>
          </w:rPr>
          <w:instrText xml:space="preserve"> PAGEREF _Toc332960040 \h </w:instrText>
        </w:r>
        <w:r w:rsidR="00130B5E">
          <w:rPr>
            <w:noProof/>
            <w:webHidden/>
          </w:rPr>
        </w:r>
        <w:r w:rsidR="00130B5E">
          <w:rPr>
            <w:noProof/>
            <w:webHidden/>
          </w:rPr>
          <w:fldChar w:fldCharType="separate"/>
        </w:r>
        <w:r w:rsidR="00130B5E">
          <w:rPr>
            <w:noProof/>
            <w:webHidden/>
          </w:rPr>
          <w:t>33</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60041" w:history="1">
        <w:r w:rsidR="00130B5E" w:rsidRPr="002703DF">
          <w:rPr>
            <w:rStyle w:val="Hyperlink"/>
            <w:noProof/>
          </w:rPr>
          <w:t>9.  Consolidated list of recommendations:</w:t>
        </w:r>
        <w:r w:rsidR="00130B5E">
          <w:rPr>
            <w:noProof/>
            <w:webHidden/>
          </w:rPr>
          <w:tab/>
        </w:r>
        <w:r w:rsidR="00130B5E">
          <w:rPr>
            <w:noProof/>
            <w:webHidden/>
          </w:rPr>
          <w:fldChar w:fldCharType="begin"/>
        </w:r>
        <w:r w:rsidR="00130B5E">
          <w:rPr>
            <w:noProof/>
            <w:webHidden/>
          </w:rPr>
          <w:instrText xml:space="preserve"> PAGEREF _Toc332960041 \h </w:instrText>
        </w:r>
        <w:r w:rsidR="00130B5E">
          <w:rPr>
            <w:noProof/>
            <w:webHidden/>
          </w:rPr>
        </w:r>
        <w:r w:rsidR="00130B5E">
          <w:rPr>
            <w:noProof/>
            <w:webHidden/>
          </w:rPr>
          <w:fldChar w:fldCharType="separate"/>
        </w:r>
        <w:r w:rsidR="00130B5E">
          <w:rPr>
            <w:noProof/>
            <w:webHidden/>
          </w:rPr>
          <w:t>35</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60042" w:history="1">
        <w:r w:rsidR="00130B5E" w:rsidRPr="002703DF">
          <w:rPr>
            <w:rStyle w:val="Hyperlink"/>
            <w:noProof/>
          </w:rPr>
          <w:t>Annex 1: Detailed Terms of References</w:t>
        </w:r>
        <w:r w:rsidR="00130B5E">
          <w:rPr>
            <w:noProof/>
            <w:webHidden/>
          </w:rPr>
          <w:tab/>
        </w:r>
        <w:r w:rsidR="00130B5E">
          <w:rPr>
            <w:noProof/>
            <w:webHidden/>
          </w:rPr>
          <w:fldChar w:fldCharType="begin"/>
        </w:r>
        <w:r w:rsidR="00130B5E">
          <w:rPr>
            <w:noProof/>
            <w:webHidden/>
          </w:rPr>
          <w:instrText xml:space="preserve"> PAGEREF _Toc332960042 \h </w:instrText>
        </w:r>
        <w:r w:rsidR="00130B5E">
          <w:rPr>
            <w:noProof/>
            <w:webHidden/>
          </w:rPr>
        </w:r>
        <w:r w:rsidR="00130B5E">
          <w:rPr>
            <w:noProof/>
            <w:webHidden/>
          </w:rPr>
          <w:fldChar w:fldCharType="separate"/>
        </w:r>
        <w:r w:rsidR="00130B5E">
          <w:rPr>
            <w:noProof/>
            <w:webHidden/>
          </w:rPr>
          <w:t>37</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60043" w:history="1">
        <w:r w:rsidR="00130B5E" w:rsidRPr="002703DF">
          <w:rPr>
            <w:rStyle w:val="Hyperlink"/>
            <w:noProof/>
          </w:rPr>
          <w:t>Annex 2: Workprogram (in Canberra)</w:t>
        </w:r>
        <w:r w:rsidR="00130B5E">
          <w:rPr>
            <w:noProof/>
            <w:webHidden/>
          </w:rPr>
          <w:tab/>
        </w:r>
        <w:r w:rsidR="00130B5E">
          <w:rPr>
            <w:noProof/>
            <w:webHidden/>
          </w:rPr>
          <w:fldChar w:fldCharType="begin"/>
        </w:r>
        <w:r w:rsidR="00130B5E">
          <w:rPr>
            <w:noProof/>
            <w:webHidden/>
          </w:rPr>
          <w:instrText xml:space="preserve"> PAGEREF _Toc332960043 \h </w:instrText>
        </w:r>
        <w:r w:rsidR="00130B5E">
          <w:rPr>
            <w:noProof/>
            <w:webHidden/>
          </w:rPr>
        </w:r>
        <w:r w:rsidR="00130B5E">
          <w:rPr>
            <w:noProof/>
            <w:webHidden/>
          </w:rPr>
          <w:fldChar w:fldCharType="separate"/>
        </w:r>
        <w:r w:rsidR="00130B5E">
          <w:rPr>
            <w:noProof/>
            <w:webHidden/>
          </w:rPr>
          <w:t>39</w:t>
        </w:r>
        <w:r w:rsidR="00130B5E">
          <w:rPr>
            <w:noProof/>
            <w:webHidden/>
          </w:rPr>
          <w:fldChar w:fldCharType="end"/>
        </w:r>
      </w:hyperlink>
    </w:p>
    <w:p w:rsidR="00130B5E" w:rsidRDefault="00CE1E3C">
      <w:pPr>
        <w:pStyle w:val="TOC1"/>
        <w:tabs>
          <w:tab w:val="right" w:leader="dot" w:pos="9182"/>
        </w:tabs>
        <w:rPr>
          <w:rFonts w:asciiTheme="minorHAnsi" w:hAnsiTheme="minorHAnsi" w:cstheme="minorBidi"/>
          <w:noProof/>
          <w:lang w:val="en-US" w:eastAsia="zh-CN"/>
        </w:rPr>
      </w:pPr>
      <w:hyperlink w:anchor="_Toc332960044" w:history="1">
        <w:r w:rsidR="00130B5E" w:rsidRPr="002703DF">
          <w:rPr>
            <w:rStyle w:val="Hyperlink"/>
            <w:noProof/>
          </w:rPr>
          <w:t>Annex 3: List of references</w:t>
        </w:r>
        <w:r w:rsidR="00130B5E">
          <w:rPr>
            <w:noProof/>
            <w:webHidden/>
          </w:rPr>
          <w:tab/>
        </w:r>
        <w:r w:rsidR="00130B5E">
          <w:rPr>
            <w:noProof/>
            <w:webHidden/>
          </w:rPr>
          <w:fldChar w:fldCharType="begin"/>
        </w:r>
        <w:r w:rsidR="00130B5E">
          <w:rPr>
            <w:noProof/>
            <w:webHidden/>
          </w:rPr>
          <w:instrText xml:space="preserve"> PAGEREF _Toc332960044 \h </w:instrText>
        </w:r>
        <w:r w:rsidR="00130B5E">
          <w:rPr>
            <w:noProof/>
            <w:webHidden/>
          </w:rPr>
        </w:r>
        <w:r w:rsidR="00130B5E">
          <w:rPr>
            <w:noProof/>
            <w:webHidden/>
          </w:rPr>
          <w:fldChar w:fldCharType="separate"/>
        </w:r>
        <w:r w:rsidR="00130B5E">
          <w:rPr>
            <w:noProof/>
            <w:webHidden/>
          </w:rPr>
          <w:t>40</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45" w:history="1">
        <w:r w:rsidR="00130B5E" w:rsidRPr="002703DF">
          <w:rPr>
            <w:rStyle w:val="Hyperlink"/>
            <w:noProof/>
          </w:rPr>
          <w:t>FAO/WHO Documents:</w:t>
        </w:r>
        <w:r w:rsidR="00130B5E">
          <w:rPr>
            <w:noProof/>
            <w:webHidden/>
          </w:rPr>
          <w:tab/>
        </w:r>
        <w:r w:rsidR="00130B5E">
          <w:rPr>
            <w:noProof/>
            <w:webHidden/>
          </w:rPr>
          <w:fldChar w:fldCharType="begin"/>
        </w:r>
        <w:r w:rsidR="00130B5E">
          <w:rPr>
            <w:noProof/>
            <w:webHidden/>
          </w:rPr>
          <w:instrText xml:space="preserve"> PAGEREF _Toc332960045 \h </w:instrText>
        </w:r>
        <w:r w:rsidR="00130B5E">
          <w:rPr>
            <w:noProof/>
            <w:webHidden/>
          </w:rPr>
        </w:r>
        <w:r w:rsidR="00130B5E">
          <w:rPr>
            <w:noProof/>
            <w:webHidden/>
          </w:rPr>
          <w:fldChar w:fldCharType="separate"/>
        </w:r>
        <w:r w:rsidR="00130B5E">
          <w:rPr>
            <w:noProof/>
            <w:webHidden/>
          </w:rPr>
          <w:t>40</w:t>
        </w:r>
        <w:r w:rsidR="00130B5E">
          <w:rPr>
            <w:noProof/>
            <w:webHidden/>
          </w:rPr>
          <w:fldChar w:fldCharType="end"/>
        </w:r>
      </w:hyperlink>
    </w:p>
    <w:p w:rsidR="00130B5E" w:rsidRDefault="00CE1E3C">
      <w:pPr>
        <w:pStyle w:val="TOC2"/>
        <w:tabs>
          <w:tab w:val="right" w:leader="dot" w:pos="9182"/>
        </w:tabs>
        <w:rPr>
          <w:rFonts w:asciiTheme="minorHAnsi" w:hAnsiTheme="minorHAnsi" w:cstheme="minorBidi"/>
          <w:noProof/>
          <w:lang w:val="en-US" w:eastAsia="zh-CN"/>
        </w:rPr>
      </w:pPr>
      <w:hyperlink w:anchor="_Toc332960046" w:history="1">
        <w:r w:rsidR="00130B5E" w:rsidRPr="002703DF">
          <w:rPr>
            <w:rStyle w:val="Hyperlink"/>
            <w:noProof/>
            <w:lang w:val="es-ES"/>
          </w:rPr>
          <w:t>FSANZ Documents</w:t>
        </w:r>
        <w:r w:rsidR="00130B5E">
          <w:rPr>
            <w:noProof/>
            <w:webHidden/>
          </w:rPr>
          <w:tab/>
        </w:r>
        <w:r w:rsidR="00130B5E">
          <w:rPr>
            <w:noProof/>
            <w:webHidden/>
          </w:rPr>
          <w:fldChar w:fldCharType="begin"/>
        </w:r>
        <w:r w:rsidR="00130B5E">
          <w:rPr>
            <w:noProof/>
            <w:webHidden/>
          </w:rPr>
          <w:instrText xml:space="preserve"> PAGEREF _Toc332960046 \h </w:instrText>
        </w:r>
        <w:r w:rsidR="00130B5E">
          <w:rPr>
            <w:noProof/>
            <w:webHidden/>
          </w:rPr>
        </w:r>
        <w:r w:rsidR="00130B5E">
          <w:rPr>
            <w:noProof/>
            <w:webHidden/>
          </w:rPr>
          <w:fldChar w:fldCharType="separate"/>
        </w:r>
        <w:r w:rsidR="00130B5E">
          <w:rPr>
            <w:noProof/>
            <w:webHidden/>
          </w:rPr>
          <w:t>40</w:t>
        </w:r>
        <w:r w:rsidR="00130B5E">
          <w:rPr>
            <w:noProof/>
            <w:webHidden/>
          </w:rPr>
          <w:fldChar w:fldCharType="end"/>
        </w:r>
      </w:hyperlink>
    </w:p>
    <w:p w:rsidR="00876693" w:rsidRDefault="00876693" w:rsidP="003B2DBB">
      <w:pPr>
        <w:ind w:firstLine="284"/>
      </w:pPr>
      <w:r>
        <w:rPr>
          <w:b/>
          <w:bCs/>
          <w:noProof/>
        </w:rPr>
        <w:fldChar w:fldCharType="end"/>
      </w:r>
    </w:p>
    <w:p w:rsidR="00BC508C" w:rsidRDefault="00BC508C" w:rsidP="003B2DBB">
      <w:pPr>
        <w:ind w:firstLine="284"/>
      </w:pPr>
    </w:p>
    <w:p w:rsidR="00876693" w:rsidRDefault="00BC508C" w:rsidP="003B2DBB">
      <w:pPr>
        <w:ind w:firstLine="284"/>
      </w:pPr>
      <w:r>
        <w:br w:type="page"/>
      </w:r>
    </w:p>
    <w:p w:rsidR="002C20F2" w:rsidRDefault="002C20F2" w:rsidP="003B2DBB">
      <w:pPr>
        <w:pStyle w:val="Heading1"/>
      </w:pPr>
      <w:bookmarkStart w:id="1" w:name="_Toc332959994"/>
      <w:bookmarkStart w:id="2" w:name="_Toc322935487"/>
      <w:r w:rsidRPr="00720884">
        <w:lastRenderedPageBreak/>
        <w:t>Executive</w:t>
      </w:r>
      <w:r>
        <w:t xml:space="preserve"> </w:t>
      </w:r>
      <w:r w:rsidR="00920CA5">
        <w:t>s</w:t>
      </w:r>
      <w:r>
        <w:t>ummary</w:t>
      </w:r>
      <w:bookmarkEnd w:id="1"/>
    </w:p>
    <w:p w:rsidR="00077763" w:rsidRPr="00201CE8" w:rsidRDefault="00077763" w:rsidP="00077763">
      <w:pPr>
        <w:rPr>
          <w:rFonts w:ascii="Calibri" w:hAnsi="Calibri" w:cs="Calibri"/>
        </w:rPr>
      </w:pPr>
      <w:r w:rsidRPr="00201CE8">
        <w:rPr>
          <w:rFonts w:ascii="Calibri" w:hAnsi="Calibri" w:cs="Calibri"/>
        </w:rPr>
        <w:t>This review was undertaken to fulfil one of the key strategic objectives of the FSANZ science strategy for 2012</w:t>
      </w:r>
      <w:r w:rsidR="00920CA5" w:rsidRPr="00201CE8">
        <w:rPr>
          <w:rFonts w:ascii="Calibri" w:hAnsi="Calibri" w:cs="Calibri"/>
        </w:rPr>
        <w:t>–</w:t>
      </w:r>
      <w:r w:rsidRPr="00201CE8">
        <w:rPr>
          <w:rFonts w:ascii="Calibri" w:hAnsi="Calibri" w:cs="Calibri"/>
        </w:rPr>
        <w:t>2015. The purpose was to undertake a high-level review of risk assessment practices and procedures across sections, including chemical and microbiological risk</w:t>
      </w:r>
      <w:r w:rsidR="00920CA5" w:rsidRPr="00201CE8">
        <w:rPr>
          <w:rFonts w:ascii="Calibri" w:hAnsi="Calibri" w:cs="Calibri"/>
        </w:rPr>
        <w:t>;</w:t>
      </w:r>
      <w:r w:rsidRPr="00201CE8">
        <w:rPr>
          <w:rFonts w:ascii="Calibri" w:hAnsi="Calibri" w:cs="Calibri"/>
        </w:rPr>
        <w:t xml:space="preserve"> genetically modified (GM) </w:t>
      </w:r>
      <w:r w:rsidR="00920CA5" w:rsidRPr="00201CE8">
        <w:rPr>
          <w:rFonts w:ascii="Calibri" w:hAnsi="Calibri" w:cs="Calibri"/>
        </w:rPr>
        <w:t xml:space="preserve">foods; </w:t>
      </w:r>
      <w:r w:rsidRPr="00201CE8">
        <w:rPr>
          <w:rFonts w:ascii="Calibri" w:hAnsi="Calibri" w:cs="Calibri"/>
        </w:rPr>
        <w:t xml:space="preserve">and nutrition risk assessment. The focus was on overall principles, in particular </w:t>
      </w:r>
      <w:r w:rsidR="00920CA5" w:rsidRPr="00201CE8">
        <w:rPr>
          <w:rFonts w:ascii="Calibri" w:hAnsi="Calibri" w:cs="Calibri"/>
        </w:rPr>
        <w:t xml:space="preserve">the </w:t>
      </w:r>
      <w:r w:rsidRPr="00201CE8">
        <w:rPr>
          <w:rFonts w:ascii="Calibri" w:hAnsi="Calibri" w:cs="Calibri"/>
        </w:rPr>
        <w:t>soundness and transparency of the process, rather than on a detailed review of the content of specific risk assessments. The objective was to evaluate the current rigo</w:t>
      </w:r>
      <w:r w:rsidR="00EC1011" w:rsidRPr="00201CE8">
        <w:rPr>
          <w:rFonts w:ascii="Calibri" w:hAnsi="Calibri" w:cs="Calibri"/>
        </w:rPr>
        <w:t>u</w:t>
      </w:r>
      <w:r w:rsidRPr="00201CE8">
        <w:rPr>
          <w:rFonts w:ascii="Calibri" w:hAnsi="Calibri" w:cs="Calibri"/>
        </w:rPr>
        <w:t xml:space="preserve">r of FSANZ risk assessment practices and procedures taking international practices into account; identify areas of improvements; and </w:t>
      </w:r>
      <w:r w:rsidR="00EC1011" w:rsidRPr="00201CE8">
        <w:rPr>
          <w:rFonts w:ascii="Calibri" w:hAnsi="Calibri" w:cs="Calibri"/>
        </w:rPr>
        <w:t>p</w:t>
      </w:r>
      <w:r w:rsidRPr="00201CE8">
        <w:rPr>
          <w:rFonts w:ascii="Calibri" w:hAnsi="Calibri" w:cs="Calibri"/>
        </w:rPr>
        <w:t>rovide clear recommendations.</w:t>
      </w:r>
    </w:p>
    <w:p w:rsidR="00077763" w:rsidRPr="00201CE8" w:rsidRDefault="00077763" w:rsidP="008E2C8E">
      <w:pPr>
        <w:rPr>
          <w:rFonts w:ascii="Calibri" w:hAnsi="Calibri" w:cs="Calibri"/>
        </w:rPr>
      </w:pPr>
      <w:r w:rsidRPr="00201CE8">
        <w:rPr>
          <w:rFonts w:ascii="Calibri" w:hAnsi="Calibri" w:cs="Calibri"/>
        </w:rPr>
        <w:t xml:space="preserve">The review was conducted in a manner consistent with the core principles for </w:t>
      </w:r>
      <w:r w:rsidR="00EC1011" w:rsidRPr="00201CE8">
        <w:rPr>
          <w:rFonts w:ascii="Calibri" w:hAnsi="Calibri" w:cs="Calibri"/>
        </w:rPr>
        <w:t xml:space="preserve">providing </w:t>
      </w:r>
      <w:r w:rsidRPr="00201CE8">
        <w:rPr>
          <w:rFonts w:ascii="Calibri" w:hAnsi="Calibri" w:cs="Calibri"/>
        </w:rPr>
        <w:t>scientific advice in food safety and nutrition, as defined through a F</w:t>
      </w:r>
      <w:r w:rsidR="005125B1">
        <w:rPr>
          <w:rFonts w:ascii="Calibri" w:hAnsi="Calibri" w:cs="Calibri"/>
        </w:rPr>
        <w:t xml:space="preserve">ood and Agricultural Organization </w:t>
      </w:r>
      <w:r w:rsidR="003D5ED9">
        <w:rPr>
          <w:rFonts w:ascii="Calibri" w:hAnsi="Calibri" w:cs="Calibri"/>
        </w:rPr>
        <w:t xml:space="preserve">(FAO) </w:t>
      </w:r>
      <w:r w:rsidR="005125B1">
        <w:rPr>
          <w:rFonts w:ascii="Calibri" w:hAnsi="Calibri" w:cs="Calibri"/>
        </w:rPr>
        <w:t xml:space="preserve">and World Health Organization </w:t>
      </w:r>
      <w:r w:rsidR="003D5ED9">
        <w:rPr>
          <w:rFonts w:ascii="Calibri" w:hAnsi="Calibri" w:cs="Calibri"/>
        </w:rPr>
        <w:t xml:space="preserve">(WHO) </w:t>
      </w:r>
      <w:r w:rsidRPr="00201CE8">
        <w:rPr>
          <w:rFonts w:ascii="Calibri" w:hAnsi="Calibri" w:cs="Calibri"/>
        </w:rPr>
        <w:t>consultative process, and adapted for this regulatory setting. These core principles are soundness, responsibility, objectivity, fairness, transparency and inclusiveness. A series of key FSANZ documents were consulted and interviews were held with key staff at FSANZ (Executive members, scientific section managers and senior scientists) and key stakeholders (other government agencies, a FSANZ fellow, industry sector).</w:t>
      </w:r>
    </w:p>
    <w:p w:rsidR="00077763" w:rsidRPr="00201CE8" w:rsidRDefault="00077763" w:rsidP="00077763">
      <w:pPr>
        <w:rPr>
          <w:rFonts w:ascii="Calibri" w:hAnsi="Calibri" w:cs="Calibri"/>
        </w:rPr>
      </w:pPr>
      <w:r w:rsidRPr="00201CE8">
        <w:rPr>
          <w:rFonts w:ascii="Calibri" w:hAnsi="Calibri" w:cs="Calibri"/>
        </w:rPr>
        <w:t xml:space="preserve">The risk analysis paradigm has been adopted internationally and consists of the three </w:t>
      </w:r>
      <w:r w:rsidR="00EC1011" w:rsidRPr="00201CE8">
        <w:rPr>
          <w:rFonts w:ascii="Calibri" w:hAnsi="Calibri" w:cs="Calibri"/>
        </w:rPr>
        <w:br/>
        <w:t>parts—</w:t>
      </w:r>
      <w:r w:rsidRPr="00201CE8">
        <w:rPr>
          <w:rFonts w:ascii="Calibri" w:hAnsi="Calibri" w:cs="Calibri"/>
        </w:rPr>
        <w:t>risk assessment, risk management and risk communication. Risk assessment is the scientific part of the risk analysis process, and is comprised of the following steps: hazard identification, hazard characterization, exposure assessment and risk characterization.</w:t>
      </w:r>
    </w:p>
    <w:p w:rsidR="00077763" w:rsidRPr="00201CE8" w:rsidRDefault="00077763" w:rsidP="00077763">
      <w:pPr>
        <w:rPr>
          <w:rFonts w:ascii="Calibri" w:hAnsi="Calibri" w:cs="Calibri"/>
        </w:rPr>
      </w:pPr>
      <w:r w:rsidRPr="00201CE8">
        <w:rPr>
          <w:rFonts w:ascii="Calibri" w:hAnsi="Calibri" w:cs="Calibri"/>
        </w:rPr>
        <w:t xml:space="preserve">FSANZ has adopted the risk analysis paradigm and associated principles and works within this framework. The Analysis of Food Related Health Risks is a FSANZ publication developed to describe how FSANZ uses the risk analysis framework. FSANZ’s main role is </w:t>
      </w:r>
      <w:r w:rsidR="00081375" w:rsidRPr="00201CE8">
        <w:rPr>
          <w:rFonts w:ascii="Calibri" w:hAnsi="Calibri" w:cs="Calibri"/>
        </w:rPr>
        <w:t xml:space="preserve">developing </w:t>
      </w:r>
      <w:r w:rsidRPr="00201CE8">
        <w:rPr>
          <w:rFonts w:ascii="Calibri" w:hAnsi="Calibri" w:cs="Calibri"/>
        </w:rPr>
        <w:t>or revisi</w:t>
      </w:r>
      <w:r w:rsidR="00081375" w:rsidRPr="00201CE8">
        <w:rPr>
          <w:rFonts w:ascii="Calibri" w:hAnsi="Calibri" w:cs="Calibri"/>
        </w:rPr>
        <w:t xml:space="preserve">ng </w:t>
      </w:r>
      <w:r w:rsidRPr="00201CE8">
        <w:rPr>
          <w:rFonts w:ascii="Calibri" w:hAnsi="Calibri" w:cs="Calibri"/>
        </w:rPr>
        <w:t xml:space="preserve">food standards in the Australia New Zealand Food Standards Code (the Code). There are two main processes leading to a risk assessment request. The first is an application, which is an outside request for a change to the Code, such as approval of a food, food ingredient, additive etc. The other is a proposal, which reflects an internally identified concern that may result in a change to the Code that requires a risk assessment. Risk assessments are also required for </w:t>
      </w:r>
      <w:r w:rsidR="00081375" w:rsidRPr="00201CE8">
        <w:rPr>
          <w:rFonts w:ascii="Calibri" w:hAnsi="Calibri" w:cs="Calibri"/>
        </w:rPr>
        <w:t xml:space="preserve">assessing </w:t>
      </w:r>
      <w:r w:rsidRPr="00201CE8">
        <w:rPr>
          <w:rFonts w:ascii="Calibri" w:hAnsi="Calibri" w:cs="Calibri"/>
        </w:rPr>
        <w:t>surveillance data, emerging and emergency issues.</w:t>
      </w:r>
      <w:r w:rsidR="00432068" w:rsidRPr="00201CE8">
        <w:rPr>
          <w:rFonts w:ascii="Calibri" w:hAnsi="Calibri" w:cs="Calibri"/>
        </w:rPr>
        <w:t xml:space="preserve"> FSANZ employs a matrix management approach to consider such projects. Specifically, multi-disciplinary teams are established for each project comprising risk assessors, risk managers and risk communicators, including staff with specific expertise relevant to the particular project.</w:t>
      </w:r>
    </w:p>
    <w:p w:rsidR="001800FF" w:rsidRPr="00201CE8" w:rsidRDefault="00077763" w:rsidP="00077763">
      <w:pPr>
        <w:rPr>
          <w:rFonts w:ascii="Calibri" w:hAnsi="Calibri" w:cs="Calibri"/>
        </w:rPr>
      </w:pPr>
      <w:r w:rsidRPr="00201CE8">
        <w:rPr>
          <w:rFonts w:ascii="Calibri" w:hAnsi="Calibri" w:cs="Calibri"/>
        </w:rPr>
        <w:lastRenderedPageBreak/>
        <w:t xml:space="preserve">FSANZ undertakes risk assessments for microbiological agents and chemicals, genetically modified organisms (and products </w:t>
      </w:r>
      <w:r w:rsidR="00081375" w:rsidRPr="00201CE8">
        <w:rPr>
          <w:rFonts w:ascii="Calibri" w:hAnsi="Calibri" w:cs="Calibri"/>
        </w:rPr>
        <w:t>of these organisms</w:t>
      </w:r>
      <w:r w:rsidRPr="00201CE8">
        <w:rPr>
          <w:rFonts w:ascii="Calibri" w:hAnsi="Calibri" w:cs="Calibri"/>
        </w:rPr>
        <w:t>, e.g. enzymes), production processes (mainly related to Bovine spongiform encephalopathy; BSE)</w:t>
      </w:r>
      <w:r w:rsidR="00081375" w:rsidRPr="00201CE8">
        <w:rPr>
          <w:rFonts w:ascii="Calibri" w:hAnsi="Calibri" w:cs="Calibri"/>
        </w:rPr>
        <w:t>,</w:t>
      </w:r>
      <w:r w:rsidRPr="00201CE8">
        <w:rPr>
          <w:rFonts w:ascii="Calibri" w:hAnsi="Calibri" w:cs="Calibri"/>
        </w:rPr>
        <w:t xml:space="preserve"> and public health nutrition. </w:t>
      </w:r>
      <w:r w:rsidR="00081375" w:rsidRPr="00201CE8">
        <w:rPr>
          <w:rFonts w:ascii="Calibri" w:hAnsi="Calibri" w:cs="Calibri"/>
        </w:rPr>
        <w:t>The links</w:t>
      </w:r>
      <w:r w:rsidRPr="00201CE8">
        <w:rPr>
          <w:rFonts w:ascii="Calibri" w:hAnsi="Calibri" w:cs="Calibri"/>
        </w:rPr>
        <w:t xml:space="preserve"> between the different disciplines </w:t>
      </w:r>
      <w:r w:rsidR="00081375" w:rsidRPr="00201CE8">
        <w:rPr>
          <w:rFonts w:ascii="Calibri" w:hAnsi="Calibri" w:cs="Calibri"/>
        </w:rPr>
        <w:t xml:space="preserve">have become more important due to </w:t>
      </w:r>
      <w:r w:rsidRPr="00201CE8">
        <w:rPr>
          <w:rFonts w:ascii="Calibri" w:hAnsi="Calibri" w:cs="Calibri"/>
        </w:rPr>
        <w:t xml:space="preserve">increasingly complex risk assessment questions. </w:t>
      </w:r>
      <w:r w:rsidR="00432068" w:rsidRPr="00201CE8">
        <w:rPr>
          <w:rFonts w:ascii="Calibri" w:hAnsi="Calibri" w:cs="Calibri"/>
        </w:rPr>
        <w:t>Health r</w:t>
      </w:r>
      <w:r w:rsidRPr="00201CE8">
        <w:rPr>
          <w:rFonts w:ascii="Calibri" w:hAnsi="Calibri" w:cs="Calibri"/>
        </w:rPr>
        <w:t>isk-benefit considerations are also of increasing importance in the food area. Dietary exposure assessment</w:t>
      </w:r>
      <w:r w:rsidR="001800FF" w:rsidRPr="00201CE8">
        <w:rPr>
          <w:rFonts w:ascii="Calibri" w:hAnsi="Calibri" w:cs="Calibri"/>
        </w:rPr>
        <w:t xml:space="preserve">s and </w:t>
      </w:r>
      <w:r w:rsidRPr="00201CE8">
        <w:rPr>
          <w:rFonts w:ascii="Calibri" w:hAnsi="Calibri" w:cs="Calibri"/>
        </w:rPr>
        <w:t xml:space="preserve">food surveillance is an important part of the overall risk assessments. </w:t>
      </w:r>
    </w:p>
    <w:p w:rsidR="00077763" w:rsidRPr="00201CE8" w:rsidRDefault="00077763" w:rsidP="00077763">
      <w:pPr>
        <w:rPr>
          <w:rFonts w:ascii="Calibri" w:hAnsi="Calibri" w:cs="Calibri"/>
        </w:rPr>
      </w:pPr>
      <w:r w:rsidRPr="00201CE8">
        <w:rPr>
          <w:rFonts w:ascii="Calibri" w:hAnsi="Calibri" w:cs="Calibri"/>
        </w:rPr>
        <w:t xml:space="preserve">A review was undertaken </w:t>
      </w:r>
      <w:r w:rsidR="001800FF" w:rsidRPr="00201CE8">
        <w:rPr>
          <w:rFonts w:ascii="Calibri" w:hAnsi="Calibri" w:cs="Calibri"/>
        </w:rPr>
        <w:t>of</w:t>
      </w:r>
      <w:r w:rsidRPr="00201CE8">
        <w:rPr>
          <w:rFonts w:ascii="Calibri" w:hAnsi="Calibri" w:cs="Calibri"/>
        </w:rPr>
        <w:t xml:space="preserve"> each </w:t>
      </w:r>
      <w:r w:rsidR="001800FF" w:rsidRPr="00201CE8">
        <w:rPr>
          <w:rFonts w:ascii="Calibri" w:hAnsi="Calibri" w:cs="Calibri"/>
        </w:rPr>
        <w:t xml:space="preserve">of the relevant </w:t>
      </w:r>
      <w:r w:rsidRPr="00201CE8">
        <w:rPr>
          <w:rFonts w:ascii="Calibri" w:hAnsi="Calibri" w:cs="Calibri"/>
        </w:rPr>
        <w:t>area</w:t>
      </w:r>
      <w:r w:rsidR="001800FF" w:rsidRPr="00201CE8">
        <w:rPr>
          <w:rFonts w:ascii="Calibri" w:hAnsi="Calibri" w:cs="Calibri"/>
        </w:rPr>
        <w:t xml:space="preserve">s and of </w:t>
      </w:r>
      <w:r w:rsidRPr="00201CE8">
        <w:rPr>
          <w:rFonts w:ascii="Calibri" w:hAnsi="Calibri" w:cs="Calibri"/>
        </w:rPr>
        <w:t>combined risk assessments (</w:t>
      </w:r>
      <w:r w:rsidR="001800FF" w:rsidRPr="00201CE8">
        <w:rPr>
          <w:rFonts w:ascii="Calibri" w:hAnsi="Calibri" w:cs="Calibri"/>
        </w:rPr>
        <w:t>those</w:t>
      </w:r>
      <w:r w:rsidRPr="00201CE8">
        <w:rPr>
          <w:rFonts w:ascii="Calibri" w:hAnsi="Calibri" w:cs="Calibri"/>
        </w:rPr>
        <w:t xml:space="preserve"> involving several disciplines), and </w:t>
      </w:r>
      <w:r w:rsidR="001800FF" w:rsidRPr="00201CE8">
        <w:rPr>
          <w:rFonts w:ascii="Calibri" w:hAnsi="Calibri" w:cs="Calibri"/>
        </w:rPr>
        <w:t xml:space="preserve">the </w:t>
      </w:r>
      <w:r w:rsidRPr="00201CE8">
        <w:rPr>
          <w:rFonts w:ascii="Calibri" w:hAnsi="Calibri" w:cs="Calibri"/>
        </w:rPr>
        <w:t xml:space="preserve">strengths and challenges </w:t>
      </w:r>
      <w:r w:rsidR="001800FF" w:rsidRPr="00201CE8">
        <w:rPr>
          <w:rFonts w:ascii="Calibri" w:hAnsi="Calibri" w:cs="Calibri"/>
        </w:rPr>
        <w:t xml:space="preserve">of each </w:t>
      </w:r>
      <w:r w:rsidRPr="00201CE8">
        <w:rPr>
          <w:rFonts w:ascii="Calibri" w:hAnsi="Calibri" w:cs="Calibri"/>
        </w:rPr>
        <w:t xml:space="preserve">are described in the report. </w:t>
      </w:r>
    </w:p>
    <w:p w:rsidR="00077763" w:rsidRPr="00201CE8" w:rsidRDefault="00077763" w:rsidP="00077763">
      <w:pPr>
        <w:rPr>
          <w:rFonts w:ascii="Calibri" w:hAnsi="Calibri" w:cs="Calibri"/>
        </w:rPr>
      </w:pPr>
      <w:r w:rsidRPr="00201CE8">
        <w:rPr>
          <w:rFonts w:ascii="Calibri" w:hAnsi="Calibri" w:cs="Calibri"/>
        </w:rPr>
        <w:t>With respect to stakeholders</w:t>
      </w:r>
      <w:r w:rsidR="001800FF" w:rsidRPr="00201CE8">
        <w:rPr>
          <w:rFonts w:ascii="Calibri" w:hAnsi="Calibri" w:cs="Calibri"/>
        </w:rPr>
        <w:t>’</w:t>
      </w:r>
      <w:r w:rsidRPr="00201CE8">
        <w:rPr>
          <w:rFonts w:ascii="Calibri" w:hAnsi="Calibri" w:cs="Calibri"/>
        </w:rPr>
        <w:t xml:space="preserve"> views, the key point is that FSANZ is consistently seen as an independent scientific expert body, but that it lacks recognition nationally. </w:t>
      </w:r>
      <w:r w:rsidR="001800FF" w:rsidRPr="00201CE8">
        <w:rPr>
          <w:rFonts w:ascii="Calibri" w:hAnsi="Calibri" w:cs="Calibri"/>
        </w:rPr>
        <w:t>R</w:t>
      </w:r>
      <w:r w:rsidRPr="00201CE8">
        <w:rPr>
          <w:rFonts w:ascii="Calibri" w:hAnsi="Calibri" w:cs="Calibri"/>
        </w:rPr>
        <w:t xml:space="preserve">isk assessments are seen as being high quality and </w:t>
      </w:r>
      <w:r w:rsidR="001800FF" w:rsidRPr="00201CE8">
        <w:rPr>
          <w:rFonts w:ascii="Calibri" w:hAnsi="Calibri" w:cs="Calibri"/>
        </w:rPr>
        <w:t xml:space="preserve">there is </w:t>
      </w:r>
      <w:r w:rsidRPr="00201CE8">
        <w:rPr>
          <w:rFonts w:ascii="Calibri" w:hAnsi="Calibri" w:cs="Calibri"/>
        </w:rPr>
        <w:t xml:space="preserve">now increased transparency. FSANZ’s risk assessment </w:t>
      </w:r>
      <w:proofErr w:type="gramStart"/>
      <w:r w:rsidRPr="00201CE8">
        <w:rPr>
          <w:rFonts w:ascii="Calibri" w:hAnsi="Calibri" w:cs="Calibri"/>
        </w:rPr>
        <w:t>staff also provide</w:t>
      </w:r>
      <w:proofErr w:type="gramEnd"/>
      <w:r w:rsidRPr="00201CE8">
        <w:rPr>
          <w:rFonts w:ascii="Calibri" w:hAnsi="Calibri" w:cs="Calibri"/>
        </w:rPr>
        <w:t xml:space="preserve"> </w:t>
      </w:r>
      <w:r w:rsidR="00F8480A" w:rsidRPr="00201CE8">
        <w:rPr>
          <w:rFonts w:ascii="Calibri" w:hAnsi="Calibri" w:cs="Calibri"/>
        </w:rPr>
        <w:t xml:space="preserve">their expertise </w:t>
      </w:r>
      <w:r w:rsidRPr="00201CE8">
        <w:rPr>
          <w:rFonts w:ascii="Calibri" w:hAnsi="Calibri" w:cs="Calibri"/>
        </w:rPr>
        <w:t>to many other government agencies. A particularly positive aspect raised by stakeholders is that FSANZ documents are provided for community consultation and stakeholder input. The public comment period on draft risk assessment</w:t>
      </w:r>
      <w:r w:rsidR="00F8480A" w:rsidRPr="00201CE8">
        <w:rPr>
          <w:rFonts w:ascii="Calibri" w:hAnsi="Calibri" w:cs="Calibri"/>
        </w:rPr>
        <w:t>s</w:t>
      </w:r>
      <w:r w:rsidRPr="00201CE8">
        <w:rPr>
          <w:rFonts w:ascii="Calibri" w:hAnsi="Calibri" w:cs="Calibri"/>
        </w:rPr>
        <w:t xml:space="preserve"> is seen as very positive. Suggestions for further improvements have been provided by stakeholders as described in the report. These suggestions are largely consistent with the findings of this reviewer and are captured in the recommendations briefly described below.</w:t>
      </w:r>
    </w:p>
    <w:p w:rsidR="00F8480A" w:rsidRPr="00201CE8" w:rsidRDefault="00F8480A" w:rsidP="00077763">
      <w:pPr>
        <w:rPr>
          <w:rFonts w:ascii="Calibri" w:hAnsi="Calibri" w:cs="Calibri"/>
          <w:b/>
        </w:rPr>
      </w:pPr>
      <w:r w:rsidRPr="00201CE8">
        <w:rPr>
          <w:rFonts w:ascii="Calibri" w:hAnsi="Calibri" w:cs="Calibri"/>
          <w:b/>
        </w:rPr>
        <w:t xml:space="preserve">Overall finding summary </w:t>
      </w:r>
    </w:p>
    <w:p w:rsidR="00077763" w:rsidRPr="00201CE8" w:rsidRDefault="00F8480A" w:rsidP="00077763">
      <w:pPr>
        <w:rPr>
          <w:rFonts w:ascii="Calibri" w:hAnsi="Calibri" w:cs="Calibri"/>
        </w:rPr>
      </w:pPr>
      <w:r w:rsidRPr="00201CE8">
        <w:rPr>
          <w:rFonts w:ascii="Calibri" w:hAnsi="Calibri" w:cs="Calibri"/>
        </w:rPr>
        <w:t xml:space="preserve">In its risk assessments and interaction with risk managers, </w:t>
      </w:r>
      <w:r w:rsidR="00077763" w:rsidRPr="00201CE8">
        <w:rPr>
          <w:rFonts w:ascii="Calibri" w:hAnsi="Calibri" w:cs="Calibri"/>
        </w:rPr>
        <w:t xml:space="preserve">FSANZ follows a clear and structured process in line with international recommendations. FSANZ’s risk assessment processes and capabilities have improved </w:t>
      </w:r>
      <w:r w:rsidRPr="00201CE8">
        <w:rPr>
          <w:rFonts w:ascii="Calibri" w:hAnsi="Calibri" w:cs="Calibri"/>
        </w:rPr>
        <w:t>in</w:t>
      </w:r>
      <w:r w:rsidR="00077763" w:rsidRPr="00201CE8">
        <w:rPr>
          <w:rFonts w:ascii="Calibri" w:hAnsi="Calibri" w:cs="Calibri"/>
        </w:rPr>
        <w:t xml:space="preserve"> recent years</w:t>
      </w:r>
      <w:r w:rsidR="00B30AE0">
        <w:rPr>
          <w:rFonts w:ascii="Calibri" w:hAnsi="Calibri" w:cs="Calibri"/>
        </w:rPr>
        <w:t xml:space="preserve"> and this </w:t>
      </w:r>
      <w:r w:rsidR="00077763" w:rsidRPr="00201CE8">
        <w:rPr>
          <w:rFonts w:ascii="Calibri" w:hAnsi="Calibri" w:cs="Calibri"/>
        </w:rPr>
        <w:t xml:space="preserve">has led to </w:t>
      </w:r>
      <w:r w:rsidRPr="00201CE8">
        <w:rPr>
          <w:rFonts w:ascii="Calibri" w:hAnsi="Calibri" w:cs="Calibri"/>
        </w:rPr>
        <w:t xml:space="preserve">improved </w:t>
      </w:r>
      <w:r w:rsidR="00077763" w:rsidRPr="00201CE8">
        <w:rPr>
          <w:rFonts w:ascii="Calibri" w:hAnsi="Calibri" w:cs="Calibri"/>
        </w:rPr>
        <w:t xml:space="preserve">clarity, consistency and transparency of the process and output. Specific recent improvements relate to clearer project management lines, e.g. development of a business case, a project plan, or improved structure of risk assessment reports. FSANZ’s risk assessment </w:t>
      </w:r>
      <w:proofErr w:type="gramStart"/>
      <w:r w:rsidR="00077763" w:rsidRPr="00201CE8">
        <w:rPr>
          <w:rFonts w:ascii="Calibri" w:hAnsi="Calibri" w:cs="Calibri"/>
        </w:rPr>
        <w:t>staff are</w:t>
      </w:r>
      <w:proofErr w:type="gramEnd"/>
      <w:r w:rsidR="00077763" w:rsidRPr="00201CE8">
        <w:rPr>
          <w:rFonts w:ascii="Calibri" w:hAnsi="Calibri" w:cs="Calibri"/>
        </w:rPr>
        <w:t xml:space="preserve"> highly competent, but only a few experts cover each work area. Recent scientific developments and knowledge are being integrated into the risk assessment process, and FSANZ </w:t>
      </w:r>
      <w:proofErr w:type="gramStart"/>
      <w:r w:rsidR="00077763" w:rsidRPr="00201CE8">
        <w:rPr>
          <w:rFonts w:ascii="Calibri" w:hAnsi="Calibri" w:cs="Calibri"/>
        </w:rPr>
        <w:t>staff actively participate</w:t>
      </w:r>
      <w:proofErr w:type="gramEnd"/>
      <w:r w:rsidR="00077763" w:rsidRPr="00201CE8">
        <w:rPr>
          <w:rFonts w:ascii="Calibri" w:hAnsi="Calibri" w:cs="Calibri"/>
        </w:rPr>
        <w:t xml:space="preserve"> in international scientific expert groups. </w:t>
      </w:r>
    </w:p>
    <w:p w:rsidR="00077763" w:rsidRPr="00201CE8" w:rsidRDefault="00077763" w:rsidP="00077763">
      <w:pPr>
        <w:rPr>
          <w:rFonts w:ascii="Calibri" w:hAnsi="Calibri" w:cs="Calibri"/>
        </w:rPr>
      </w:pPr>
      <w:r w:rsidRPr="00201CE8">
        <w:rPr>
          <w:rFonts w:ascii="Calibri" w:hAnsi="Calibri" w:cs="Calibri"/>
        </w:rPr>
        <w:t>Overall, no important gaps or faults in the risk assessment practices and procedures have been identified. However, further improvements are possible</w:t>
      </w:r>
      <w:r w:rsidR="00F8480A" w:rsidRPr="00201CE8">
        <w:rPr>
          <w:rFonts w:ascii="Calibri" w:hAnsi="Calibri" w:cs="Calibri"/>
        </w:rPr>
        <w:t>;</w:t>
      </w:r>
      <w:r w:rsidRPr="00201CE8">
        <w:rPr>
          <w:rFonts w:ascii="Calibri" w:hAnsi="Calibri" w:cs="Calibri"/>
        </w:rPr>
        <w:t xml:space="preserve"> subject to FSANZ’s overall priorities and available resources and specific recommendations are briefly summarized </w:t>
      </w:r>
      <w:r w:rsidR="00F8480A" w:rsidRPr="00201CE8">
        <w:rPr>
          <w:rFonts w:ascii="Calibri" w:hAnsi="Calibri" w:cs="Calibri"/>
        </w:rPr>
        <w:t>below</w:t>
      </w:r>
      <w:r w:rsidRPr="00201CE8">
        <w:rPr>
          <w:rFonts w:ascii="Calibri" w:hAnsi="Calibri" w:cs="Calibri"/>
        </w:rPr>
        <w:t>.</w:t>
      </w:r>
    </w:p>
    <w:p w:rsidR="00B30AE0" w:rsidRDefault="00B30AE0">
      <w:pPr>
        <w:spacing w:after="0" w:line="240" w:lineRule="auto"/>
        <w:rPr>
          <w:rFonts w:ascii="Calibri" w:hAnsi="Calibri" w:cs="Calibri"/>
        </w:rPr>
      </w:pPr>
      <w:r>
        <w:rPr>
          <w:rFonts w:ascii="Calibri" w:hAnsi="Calibri" w:cs="Calibri"/>
        </w:rPr>
        <w:br w:type="page"/>
      </w:r>
    </w:p>
    <w:p w:rsidR="00077763" w:rsidRPr="00201CE8" w:rsidRDefault="00077763" w:rsidP="00077763">
      <w:pPr>
        <w:rPr>
          <w:rFonts w:ascii="Calibri" w:hAnsi="Calibri" w:cs="Calibri"/>
        </w:rPr>
      </w:pPr>
      <w:r w:rsidRPr="00201CE8">
        <w:rPr>
          <w:rFonts w:ascii="Calibri" w:hAnsi="Calibri" w:cs="Calibri"/>
        </w:rPr>
        <w:lastRenderedPageBreak/>
        <w:t xml:space="preserve">For improvements of risk assessment process and documentation, FSANZ should consider the following: </w:t>
      </w:r>
    </w:p>
    <w:p w:rsidR="00077763" w:rsidRDefault="00F8480A" w:rsidP="00201CE8">
      <w:pPr>
        <w:pStyle w:val="ListParagraph"/>
        <w:numPr>
          <w:ilvl w:val="0"/>
          <w:numId w:val="39"/>
        </w:numPr>
        <w:rPr>
          <w:rFonts w:asciiTheme="minorHAnsi" w:hAnsiTheme="minorHAnsi"/>
        </w:rPr>
      </w:pPr>
      <w:r w:rsidRPr="00201CE8">
        <w:rPr>
          <w:rFonts w:asciiTheme="minorHAnsi" w:hAnsiTheme="minorHAnsi"/>
        </w:rPr>
        <w:t xml:space="preserve">developing </w:t>
      </w:r>
      <w:r w:rsidR="00077763" w:rsidRPr="00201CE8">
        <w:rPr>
          <w:rFonts w:asciiTheme="minorHAnsi" w:hAnsiTheme="minorHAnsi"/>
        </w:rPr>
        <w:t xml:space="preserve">guidance for a tiered risk assessment approach, including rapid risk assessments and qualitative approaches </w:t>
      </w:r>
    </w:p>
    <w:p w:rsidR="00B30AE0" w:rsidRPr="00201CE8" w:rsidRDefault="00B30AE0" w:rsidP="00201CE8">
      <w:pPr>
        <w:pStyle w:val="ListParagraph"/>
        <w:rPr>
          <w:rFonts w:asciiTheme="minorHAnsi" w:hAnsiTheme="minorHAnsi"/>
        </w:rPr>
      </w:pPr>
    </w:p>
    <w:p w:rsidR="00077763" w:rsidRDefault="00077763" w:rsidP="00201CE8">
      <w:pPr>
        <w:pStyle w:val="ListParagraph"/>
        <w:numPr>
          <w:ilvl w:val="0"/>
          <w:numId w:val="39"/>
        </w:numPr>
        <w:rPr>
          <w:rFonts w:asciiTheme="minorHAnsi" w:hAnsiTheme="minorHAnsi"/>
        </w:rPr>
      </w:pPr>
      <w:r w:rsidRPr="00201CE8">
        <w:rPr>
          <w:rFonts w:asciiTheme="minorHAnsi" w:hAnsiTheme="minorHAnsi"/>
        </w:rPr>
        <w:t>improved planning processes for complex combined risk assessments; development of a template for risk assessment report structure, in particular for combined risk assessments</w:t>
      </w:r>
    </w:p>
    <w:p w:rsidR="00B30AE0" w:rsidRPr="00201CE8" w:rsidRDefault="00B30AE0" w:rsidP="00201CE8">
      <w:pPr>
        <w:pStyle w:val="ListParagraph"/>
        <w:rPr>
          <w:rFonts w:asciiTheme="minorHAnsi" w:hAnsiTheme="minorHAnsi"/>
        </w:rPr>
      </w:pPr>
    </w:p>
    <w:p w:rsidR="00077763" w:rsidRDefault="00077763" w:rsidP="00201CE8">
      <w:pPr>
        <w:pStyle w:val="ListParagraph"/>
        <w:numPr>
          <w:ilvl w:val="0"/>
          <w:numId w:val="39"/>
        </w:numPr>
        <w:rPr>
          <w:rFonts w:asciiTheme="minorHAnsi" w:hAnsiTheme="minorHAnsi"/>
        </w:rPr>
      </w:pPr>
      <w:r w:rsidRPr="00201CE8">
        <w:rPr>
          <w:rFonts w:asciiTheme="minorHAnsi" w:hAnsiTheme="minorHAnsi"/>
        </w:rPr>
        <w:t xml:space="preserve">the introduction of a systematic approach for evidence-retrieval (application of principles for a systematic review) for all risk assessment areas </w:t>
      </w:r>
    </w:p>
    <w:p w:rsidR="00B30AE0" w:rsidRPr="00201CE8" w:rsidRDefault="00B30AE0" w:rsidP="00201CE8">
      <w:pPr>
        <w:pStyle w:val="ListParagraph"/>
        <w:rPr>
          <w:rFonts w:asciiTheme="minorHAnsi" w:hAnsiTheme="minorHAnsi"/>
        </w:rPr>
      </w:pPr>
    </w:p>
    <w:p w:rsidR="00077763" w:rsidRPr="00201CE8" w:rsidRDefault="00077763" w:rsidP="00201CE8">
      <w:pPr>
        <w:pStyle w:val="ListParagraph"/>
        <w:numPr>
          <w:ilvl w:val="0"/>
          <w:numId w:val="39"/>
        </w:numPr>
        <w:rPr>
          <w:rFonts w:asciiTheme="minorHAnsi" w:hAnsiTheme="minorHAnsi"/>
        </w:rPr>
      </w:pPr>
      <w:proofErr w:type="gramStart"/>
      <w:r w:rsidRPr="00201CE8">
        <w:rPr>
          <w:rFonts w:asciiTheme="minorHAnsi" w:hAnsiTheme="minorHAnsi"/>
        </w:rPr>
        <w:t>the</w:t>
      </w:r>
      <w:proofErr w:type="gramEnd"/>
      <w:r w:rsidRPr="00201CE8">
        <w:rPr>
          <w:rFonts w:asciiTheme="minorHAnsi" w:hAnsiTheme="minorHAnsi"/>
        </w:rPr>
        <w:t xml:space="preserve"> development of guidance on risk-benefit considerations.</w:t>
      </w:r>
    </w:p>
    <w:p w:rsidR="00F8480A" w:rsidRPr="00201CE8" w:rsidRDefault="00F8480A" w:rsidP="00201CE8">
      <w:pPr>
        <w:spacing w:after="0"/>
        <w:rPr>
          <w:rFonts w:ascii="Calibri" w:hAnsi="Calibri" w:cs="Calibri"/>
        </w:rPr>
      </w:pPr>
    </w:p>
    <w:p w:rsidR="00077763" w:rsidRPr="00201CE8" w:rsidRDefault="00077763" w:rsidP="00077763">
      <w:pPr>
        <w:rPr>
          <w:rFonts w:ascii="Calibri" w:hAnsi="Calibri" w:cs="Calibri"/>
        </w:rPr>
      </w:pPr>
      <w:r w:rsidRPr="00201CE8">
        <w:rPr>
          <w:rFonts w:ascii="Calibri" w:hAnsi="Calibri" w:cs="Calibri"/>
        </w:rPr>
        <w:t xml:space="preserve">Regarding scientific competence, consideration should be given to the need for additional competence in epidemiology and statistics across disciplines. </w:t>
      </w:r>
      <w:r w:rsidR="00943065" w:rsidRPr="00201CE8">
        <w:rPr>
          <w:rFonts w:ascii="Calibri" w:hAnsi="Calibri" w:cs="Calibri"/>
        </w:rPr>
        <w:t>The</w:t>
      </w:r>
      <w:r w:rsidRPr="00201CE8">
        <w:rPr>
          <w:rFonts w:ascii="Calibri" w:hAnsi="Calibri" w:cs="Calibri"/>
        </w:rPr>
        <w:t xml:space="preserve"> public image of FSANZ’s scientific competence </w:t>
      </w:r>
      <w:r w:rsidR="00943065" w:rsidRPr="00201CE8">
        <w:rPr>
          <w:rFonts w:ascii="Calibri" w:hAnsi="Calibri" w:cs="Calibri"/>
        </w:rPr>
        <w:t xml:space="preserve">should be improved </w:t>
      </w:r>
      <w:r w:rsidRPr="00201CE8">
        <w:rPr>
          <w:rFonts w:ascii="Calibri" w:hAnsi="Calibri" w:cs="Calibri"/>
        </w:rPr>
        <w:t xml:space="preserve">and there is a need to retain experienced staff and competence in house. </w:t>
      </w:r>
    </w:p>
    <w:p w:rsidR="00077763" w:rsidRPr="00201CE8" w:rsidRDefault="00077763" w:rsidP="00077763">
      <w:pPr>
        <w:rPr>
          <w:rFonts w:ascii="Calibri" w:hAnsi="Calibri" w:cs="Calibri"/>
        </w:rPr>
      </w:pPr>
      <w:r w:rsidRPr="00201CE8">
        <w:rPr>
          <w:rFonts w:ascii="Calibri" w:hAnsi="Calibri" w:cs="Calibri"/>
        </w:rPr>
        <w:t xml:space="preserve">To further increase transparency and the prioritization process, there is a need for clearer/more transparent prioritization processes including all risk assessment work; and a simple scoping form should be developed for ad hoc risk assessment requests. </w:t>
      </w:r>
    </w:p>
    <w:p w:rsidR="00077763" w:rsidRPr="00201CE8" w:rsidRDefault="00077763" w:rsidP="00077763">
      <w:pPr>
        <w:rPr>
          <w:rFonts w:ascii="Calibri" w:hAnsi="Calibri" w:cs="Calibri"/>
        </w:rPr>
      </w:pPr>
      <w:r w:rsidRPr="00201CE8">
        <w:rPr>
          <w:rFonts w:ascii="Calibri" w:hAnsi="Calibri" w:cs="Calibri"/>
        </w:rPr>
        <w:t>Regarding external peer reviews</w:t>
      </w:r>
      <w:r w:rsidR="00445400" w:rsidRPr="00201CE8">
        <w:rPr>
          <w:rFonts w:ascii="Calibri" w:hAnsi="Calibri" w:cs="Calibri"/>
        </w:rPr>
        <w:t xml:space="preserve">; </w:t>
      </w:r>
      <w:r w:rsidRPr="00201CE8">
        <w:rPr>
          <w:rFonts w:ascii="Calibri" w:hAnsi="Calibri" w:cs="Calibri"/>
        </w:rPr>
        <w:t xml:space="preserve">a clear process should be developed to clarify when and how an external review should be undertaken. A declaration of interest form and evaluation process should be established for reviewers and FSANZ fellows. </w:t>
      </w:r>
    </w:p>
    <w:p w:rsidR="00077763" w:rsidRPr="00201CE8" w:rsidRDefault="00077763" w:rsidP="00077763">
      <w:pPr>
        <w:rPr>
          <w:rFonts w:ascii="Calibri" w:hAnsi="Calibri" w:cs="Calibri"/>
        </w:rPr>
      </w:pPr>
      <w:r w:rsidRPr="00201CE8">
        <w:rPr>
          <w:rFonts w:ascii="Calibri" w:hAnsi="Calibri" w:cs="Calibri"/>
        </w:rPr>
        <w:t>To improve the interaction between risk assess</w:t>
      </w:r>
      <w:r w:rsidR="00EE639C" w:rsidRPr="00201CE8">
        <w:rPr>
          <w:rFonts w:ascii="Calibri" w:hAnsi="Calibri" w:cs="Calibri"/>
        </w:rPr>
        <w:t>ors</w:t>
      </w:r>
      <w:r w:rsidRPr="00201CE8">
        <w:rPr>
          <w:rFonts w:ascii="Calibri" w:hAnsi="Calibri" w:cs="Calibri"/>
        </w:rPr>
        <w:t xml:space="preserve"> and risk manage</w:t>
      </w:r>
      <w:r w:rsidR="00EE639C" w:rsidRPr="00201CE8">
        <w:rPr>
          <w:rFonts w:ascii="Calibri" w:hAnsi="Calibri" w:cs="Calibri"/>
        </w:rPr>
        <w:t>rs</w:t>
      </w:r>
      <w:r w:rsidRPr="00201CE8">
        <w:rPr>
          <w:rFonts w:ascii="Calibri" w:hAnsi="Calibri" w:cs="Calibri"/>
        </w:rPr>
        <w:t>, including the systematic consideration of the outcome of the risk assessment by risk manage</w:t>
      </w:r>
      <w:r w:rsidR="00EE639C" w:rsidRPr="00201CE8">
        <w:rPr>
          <w:rFonts w:ascii="Calibri" w:hAnsi="Calibri" w:cs="Calibri"/>
        </w:rPr>
        <w:t>rs</w:t>
      </w:r>
      <w:r w:rsidRPr="00201CE8">
        <w:rPr>
          <w:rFonts w:ascii="Calibri" w:hAnsi="Calibri" w:cs="Calibri"/>
        </w:rPr>
        <w:t>, there is a need to increase the transparency in the risk management decision-making process. Consideration may also be given to establish</w:t>
      </w:r>
      <w:r w:rsidR="00EE639C" w:rsidRPr="00201CE8">
        <w:rPr>
          <w:rFonts w:ascii="Calibri" w:hAnsi="Calibri" w:cs="Calibri"/>
        </w:rPr>
        <w:t>ing</w:t>
      </w:r>
      <w:r w:rsidRPr="00201CE8">
        <w:rPr>
          <w:rFonts w:ascii="Calibri" w:hAnsi="Calibri" w:cs="Calibri"/>
        </w:rPr>
        <w:t xml:space="preserve"> a monitoring and evaluation framework to follow the impact</w:t>
      </w:r>
      <w:r w:rsidR="00EE639C" w:rsidRPr="00201CE8">
        <w:rPr>
          <w:rFonts w:ascii="Calibri" w:hAnsi="Calibri" w:cs="Calibri"/>
        </w:rPr>
        <w:t xml:space="preserve"> </w:t>
      </w:r>
      <w:r w:rsidRPr="00201CE8">
        <w:rPr>
          <w:rFonts w:ascii="Calibri" w:hAnsi="Calibri" w:cs="Calibri"/>
        </w:rPr>
        <w:t xml:space="preserve">of decisions taken, however it is clear that this is quite challenging and costly and should therefore focus on key public health issues. Guidance should be developed on how to express uncertainty in risk assessment and its consideration in the risk management decision-making process.  </w:t>
      </w:r>
    </w:p>
    <w:p w:rsidR="00077763" w:rsidRPr="00201CE8" w:rsidRDefault="00077763" w:rsidP="00077763">
      <w:pPr>
        <w:rPr>
          <w:rFonts w:ascii="Calibri" w:hAnsi="Calibri" w:cs="Calibri"/>
        </w:rPr>
      </w:pPr>
      <w:r w:rsidRPr="00201CE8">
        <w:rPr>
          <w:rFonts w:ascii="Calibri" w:hAnsi="Calibri" w:cs="Calibri"/>
        </w:rPr>
        <w:t>It is important to note that the recommendations described above for development of further tools and guidance are intended to help risk assessors and also ensure a consistent and transparent approach. Care has to be taken to not simply increase the administrative burden o</w:t>
      </w:r>
      <w:r w:rsidR="00EE639C" w:rsidRPr="00201CE8">
        <w:rPr>
          <w:rFonts w:ascii="Calibri" w:hAnsi="Calibri" w:cs="Calibri"/>
        </w:rPr>
        <w:t>n</w:t>
      </w:r>
      <w:r w:rsidRPr="00201CE8">
        <w:rPr>
          <w:rFonts w:ascii="Calibri" w:hAnsi="Calibri" w:cs="Calibri"/>
        </w:rPr>
        <w:t xml:space="preserve"> risk assessors. A balance between increased ‘process’ and clear benefit is important.  Moreover, some of the recommendations</w:t>
      </w:r>
      <w:r w:rsidR="00EE639C" w:rsidRPr="00201CE8">
        <w:rPr>
          <w:rFonts w:ascii="Calibri" w:hAnsi="Calibri" w:cs="Calibri"/>
        </w:rPr>
        <w:t xml:space="preserve">, </w:t>
      </w:r>
      <w:r w:rsidRPr="00201CE8">
        <w:rPr>
          <w:rFonts w:ascii="Calibri" w:hAnsi="Calibri" w:cs="Calibri"/>
        </w:rPr>
        <w:t>e.g. develop</w:t>
      </w:r>
      <w:r w:rsidR="00EE639C" w:rsidRPr="00201CE8">
        <w:rPr>
          <w:rFonts w:ascii="Calibri" w:hAnsi="Calibri" w:cs="Calibri"/>
        </w:rPr>
        <w:t>ing</w:t>
      </w:r>
      <w:r w:rsidRPr="00201CE8">
        <w:rPr>
          <w:rFonts w:ascii="Calibri" w:hAnsi="Calibri" w:cs="Calibri"/>
        </w:rPr>
        <w:t xml:space="preserve"> a tiered approach for risk assessment and </w:t>
      </w:r>
      <w:r w:rsidR="00EE639C" w:rsidRPr="00201CE8">
        <w:rPr>
          <w:rFonts w:ascii="Calibri" w:hAnsi="Calibri" w:cs="Calibri"/>
        </w:rPr>
        <w:t xml:space="preserve">improved </w:t>
      </w:r>
      <w:r w:rsidRPr="00201CE8">
        <w:rPr>
          <w:rFonts w:ascii="Calibri" w:hAnsi="Calibri" w:cs="Calibri"/>
        </w:rPr>
        <w:t>interaction between risk assess</w:t>
      </w:r>
      <w:r w:rsidR="00EE639C" w:rsidRPr="00201CE8">
        <w:rPr>
          <w:rFonts w:ascii="Calibri" w:hAnsi="Calibri" w:cs="Calibri"/>
        </w:rPr>
        <w:t>ors</w:t>
      </w:r>
      <w:r w:rsidRPr="00201CE8">
        <w:rPr>
          <w:rFonts w:ascii="Calibri" w:hAnsi="Calibri" w:cs="Calibri"/>
        </w:rPr>
        <w:t xml:space="preserve"> and risk manage</w:t>
      </w:r>
      <w:r w:rsidR="00EE639C" w:rsidRPr="00201CE8">
        <w:rPr>
          <w:rFonts w:ascii="Calibri" w:hAnsi="Calibri" w:cs="Calibri"/>
        </w:rPr>
        <w:t xml:space="preserve">rs, </w:t>
      </w:r>
      <w:r w:rsidR="00765D48">
        <w:rPr>
          <w:rFonts w:ascii="Calibri" w:hAnsi="Calibri" w:cs="Calibri"/>
        </w:rPr>
        <w:t xml:space="preserve">are </w:t>
      </w:r>
      <w:r w:rsidR="00EE639C" w:rsidRPr="00201CE8">
        <w:rPr>
          <w:rFonts w:ascii="Calibri" w:hAnsi="Calibri" w:cs="Calibri"/>
        </w:rPr>
        <w:t xml:space="preserve">more general issues that are common to other </w:t>
      </w:r>
      <w:r w:rsidR="00EE639C" w:rsidRPr="00201CE8">
        <w:rPr>
          <w:rFonts w:ascii="Calibri" w:hAnsi="Calibri" w:cs="Calibri"/>
        </w:rPr>
        <w:lastRenderedPageBreak/>
        <w:t xml:space="preserve">authorities. FSANZ may consider interacting with </w:t>
      </w:r>
      <w:r w:rsidRPr="00201CE8">
        <w:rPr>
          <w:rFonts w:ascii="Calibri" w:hAnsi="Calibri" w:cs="Calibri"/>
        </w:rPr>
        <w:t xml:space="preserve">other authorities and international organizations </w:t>
      </w:r>
      <w:r w:rsidR="00EE639C" w:rsidRPr="00201CE8">
        <w:rPr>
          <w:rFonts w:ascii="Calibri" w:hAnsi="Calibri" w:cs="Calibri"/>
        </w:rPr>
        <w:t>on these recommendations</w:t>
      </w:r>
      <w:r w:rsidRPr="00201CE8">
        <w:rPr>
          <w:rFonts w:ascii="Calibri" w:hAnsi="Calibri" w:cs="Calibri"/>
        </w:rPr>
        <w:t>.</w:t>
      </w:r>
    </w:p>
    <w:p w:rsidR="003B2DBB" w:rsidRDefault="003B2DBB" w:rsidP="003B2DBB">
      <w:pPr>
        <w:pStyle w:val="Heading1"/>
        <w:ind w:firstLine="284"/>
        <w:rPr>
          <w:rFonts w:ascii="Arial" w:hAnsi="Arial" w:cs="Arial"/>
          <w:b w:val="0"/>
          <w:bCs w:val="0"/>
          <w:kern w:val="0"/>
          <w:sz w:val="22"/>
          <w:szCs w:val="22"/>
        </w:rPr>
      </w:pPr>
      <w:r>
        <w:rPr>
          <w:rFonts w:ascii="Arial" w:hAnsi="Arial" w:cs="Arial"/>
          <w:b w:val="0"/>
          <w:bCs w:val="0"/>
          <w:kern w:val="0"/>
          <w:sz w:val="22"/>
          <w:szCs w:val="22"/>
        </w:rPr>
        <w:br w:type="page"/>
      </w:r>
    </w:p>
    <w:p w:rsidR="002C20F2" w:rsidRDefault="002C20F2" w:rsidP="00AD38EF">
      <w:pPr>
        <w:pStyle w:val="Heading1"/>
        <w:ind w:firstLine="284"/>
      </w:pPr>
      <w:bookmarkStart w:id="3" w:name="_Toc332959995"/>
      <w:r>
        <w:lastRenderedPageBreak/>
        <w:t>Acronyms</w:t>
      </w:r>
      <w:bookmarkEnd w:id="3"/>
      <w:r w:rsidR="003B2DBB">
        <w:t xml:space="preserve"> </w:t>
      </w:r>
    </w:p>
    <w:p w:rsidR="00090C13" w:rsidRDefault="00090C13" w:rsidP="003B2DBB">
      <w:pPr>
        <w:ind w:firstLine="284"/>
      </w:pPr>
    </w:p>
    <w:p w:rsidR="003B2DBB" w:rsidRDefault="003B2DBB" w:rsidP="003B2DBB">
      <w:pPr>
        <w:ind w:firstLine="284"/>
      </w:pPr>
      <w:r>
        <w:t>FSANZ</w:t>
      </w:r>
      <w:r>
        <w:tab/>
        <w:t>Food Standards Australia New Zealand</w:t>
      </w:r>
    </w:p>
    <w:p w:rsidR="003B2DBB" w:rsidRDefault="003B2DBB" w:rsidP="003B2DBB">
      <w:pPr>
        <w:ind w:firstLine="284"/>
      </w:pPr>
      <w:r>
        <w:t xml:space="preserve">GM </w:t>
      </w:r>
      <w:r>
        <w:tab/>
      </w:r>
      <w:r>
        <w:tab/>
        <w:t>Genetically modified</w:t>
      </w:r>
    </w:p>
    <w:p w:rsidR="003B2DBB" w:rsidRDefault="003B2DBB" w:rsidP="003B2DBB">
      <w:pPr>
        <w:ind w:firstLine="284"/>
      </w:pPr>
      <w:r w:rsidRPr="00726C35">
        <w:t>AFGC</w:t>
      </w:r>
      <w:r w:rsidRPr="00457512">
        <w:t xml:space="preserve"> </w:t>
      </w:r>
      <w:r>
        <w:tab/>
      </w:r>
      <w:r w:rsidRPr="00726C35">
        <w:t>Australian Food and Grocer</w:t>
      </w:r>
      <w:r w:rsidR="00091DD7">
        <w:t>y</w:t>
      </w:r>
      <w:r w:rsidRPr="00726C35">
        <w:t xml:space="preserve"> Council</w:t>
      </w:r>
    </w:p>
    <w:p w:rsidR="003B2DBB" w:rsidRDefault="003B2DBB" w:rsidP="003B2DBB">
      <w:pPr>
        <w:ind w:firstLine="284"/>
      </w:pPr>
      <w:r w:rsidRPr="00457512">
        <w:t>APVMA</w:t>
      </w:r>
      <w:r w:rsidRPr="003B2DBB">
        <w:t xml:space="preserve"> </w:t>
      </w:r>
      <w:r>
        <w:tab/>
      </w:r>
      <w:r w:rsidRPr="00457512">
        <w:t>Australian Pesticides and Veterinary Medicine Authority</w:t>
      </w:r>
      <w:r w:rsidRPr="003B2DBB">
        <w:t xml:space="preserve"> </w:t>
      </w:r>
    </w:p>
    <w:p w:rsidR="003B2DBB" w:rsidRDefault="003B2DBB" w:rsidP="003B2DBB">
      <w:pPr>
        <w:ind w:firstLine="284"/>
      </w:pPr>
      <w:r w:rsidRPr="00726C35">
        <w:t>AQIS</w:t>
      </w:r>
      <w:r w:rsidRPr="003B2DBB">
        <w:t xml:space="preserve"> </w:t>
      </w:r>
      <w:r>
        <w:tab/>
      </w:r>
      <w:r w:rsidRPr="00726C35">
        <w:t>Australian Quarantine and Inspection Service</w:t>
      </w:r>
      <w:r w:rsidR="0092570F">
        <w:t xml:space="preserve">, now known as DAFF </w:t>
      </w:r>
    </w:p>
    <w:p w:rsidR="003B2DBB" w:rsidRDefault="00090C13" w:rsidP="003B2DBB">
      <w:pPr>
        <w:spacing w:before="60" w:after="60"/>
        <w:ind w:firstLine="284"/>
        <w:rPr>
          <w:rFonts w:ascii="Calibri" w:hAnsi="Calibri" w:cs="Calibri"/>
        </w:rPr>
      </w:pPr>
      <w:r w:rsidRPr="00726C35">
        <w:t>DAFF</w:t>
      </w:r>
      <w:r w:rsidRPr="00090C13">
        <w:t xml:space="preserve"> </w:t>
      </w:r>
      <w:r>
        <w:tab/>
      </w:r>
      <w:r w:rsidRPr="00726C35">
        <w:t>Department of Agriculture Fisheries and Forestry</w:t>
      </w:r>
    </w:p>
    <w:p w:rsidR="008B3B2F" w:rsidRDefault="008B3B2F" w:rsidP="00090C13">
      <w:pPr>
        <w:spacing w:before="60" w:after="60"/>
        <w:ind w:firstLine="284"/>
      </w:pPr>
      <w:r>
        <w:t>DoHA</w:t>
      </w:r>
      <w:r>
        <w:tab/>
        <w:t>Department of Health and Ageing</w:t>
      </w:r>
    </w:p>
    <w:p w:rsidR="00B93917" w:rsidRPr="00AD38EF" w:rsidRDefault="00090C13" w:rsidP="00AD38EF">
      <w:pPr>
        <w:ind w:left="1439" w:hanging="1155"/>
      </w:pPr>
      <w:r w:rsidRPr="00726C35">
        <w:t xml:space="preserve">NZ MAF </w:t>
      </w:r>
      <w:r>
        <w:tab/>
      </w:r>
      <w:r w:rsidRPr="00726C35">
        <w:t>New Zealand Ministr</w:t>
      </w:r>
      <w:r>
        <w:t>y of Agriculture and Fisheries</w:t>
      </w:r>
      <w:r w:rsidR="00B93917" w:rsidRPr="00B93917">
        <w:t xml:space="preserve">, </w:t>
      </w:r>
      <w:r w:rsidR="00B93917" w:rsidRPr="00AD38EF">
        <w:t xml:space="preserve">now known as New Zealand </w:t>
      </w:r>
      <w:r w:rsidR="00B93917">
        <w:t>M</w:t>
      </w:r>
      <w:r w:rsidR="00B93917" w:rsidRPr="00AD38EF">
        <w:t>inistry for Primary Industries</w:t>
      </w:r>
    </w:p>
    <w:p w:rsidR="00051A4E" w:rsidRDefault="00051A4E" w:rsidP="00090C13">
      <w:pPr>
        <w:spacing w:before="60" w:after="60"/>
        <w:ind w:firstLine="284"/>
      </w:pPr>
      <w:r>
        <w:t>OCS</w:t>
      </w:r>
      <w:r>
        <w:tab/>
        <w:t xml:space="preserve">Office of Chemical Safety, </w:t>
      </w:r>
      <w:r w:rsidR="008B3B2F">
        <w:t>DoHA</w:t>
      </w:r>
    </w:p>
    <w:p w:rsidR="003B2DBB" w:rsidRDefault="00090C13" w:rsidP="00090C13">
      <w:pPr>
        <w:spacing w:before="60" w:after="60"/>
        <w:ind w:firstLine="284"/>
      </w:pPr>
      <w:r>
        <w:t>OGTR</w:t>
      </w:r>
      <w:r w:rsidRPr="00726C35">
        <w:t xml:space="preserve"> </w:t>
      </w:r>
      <w:r>
        <w:t xml:space="preserve">   </w:t>
      </w:r>
      <w:r>
        <w:tab/>
      </w:r>
      <w:r w:rsidR="003B2DBB" w:rsidRPr="00726C35">
        <w:t xml:space="preserve">Office </w:t>
      </w:r>
      <w:r>
        <w:t>of the Gene Technology Regulator</w:t>
      </w:r>
    </w:p>
    <w:p w:rsidR="00090C13" w:rsidRDefault="00090C13" w:rsidP="00090C13">
      <w:pPr>
        <w:spacing w:before="60" w:after="60"/>
        <w:ind w:firstLine="284"/>
      </w:pPr>
      <w:r>
        <w:t>JECFA</w:t>
      </w:r>
      <w:r>
        <w:tab/>
        <w:t>Joint FAO/WHO Expert Committee on Food Additives</w:t>
      </w:r>
    </w:p>
    <w:p w:rsidR="00090C13" w:rsidRDefault="00090C13" w:rsidP="00090C13">
      <w:pPr>
        <w:spacing w:before="60" w:after="60"/>
        <w:ind w:firstLine="284"/>
      </w:pPr>
      <w:r>
        <w:t>JMPR</w:t>
      </w:r>
      <w:r>
        <w:tab/>
        <w:t>Joint FAO/WHO Expert Meeting on Pesticides Residues</w:t>
      </w:r>
    </w:p>
    <w:p w:rsidR="00090C13" w:rsidRDefault="00090C13" w:rsidP="00090C13">
      <w:pPr>
        <w:spacing w:before="60" w:after="60"/>
        <w:ind w:firstLine="284"/>
        <w:rPr>
          <w:lang w:val="en-US"/>
        </w:rPr>
      </w:pPr>
      <w:r>
        <w:t>JEMRA</w:t>
      </w:r>
      <w:r>
        <w:tab/>
        <w:t>Joint FAO</w:t>
      </w:r>
      <w:r>
        <w:rPr>
          <w:lang w:val="en-US"/>
        </w:rPr>
        <w:t>/WHO Expert Meeting on Microbiological Risk Assessment</w:t>
      </w:r>
    </w:p>
    <w:p w:rsidR="00090C13" w:rsidRDefault="00090C13" w:rsidP="00090C13">
      <w:pPr>
        <w:spacing w:before="60" w:after="60"/>
        <w:ind w:firstLine="284"/>
        <w:rPr>
          <w:lang w:val="en-US"/>
        </w:rPr>
      </w:pPr>
      <w:r>
        <w:rPr>
          <w:lang w:val="en-US"/>
        </w:rPr>
        <w:t>FAO</w:t>
      </w:r>
      <w:r>
        <w:rPr>
          <w:lang w:val="en-US"/>
        </w:rPr>
        <w:tab/>
        <w:t>Food and Agriculture Organization of the United Nations</w:t>
      </w:r>
    </w:p>
    <w:p w:rsidR="00090C13" w:rsidRPr="00090C13" w:rsidRDefault="00090C13" w:rsidP="00090C13">
      <w:pPr>
        <w:spacing w:before="60" w:after="60"/>
        <w:ind w:firstLine="284"/>
        <w:rPr>
          <w:lang w:val="en-US"/>
        </w:rPr>
      </w:pPr>
      <w:proofErr w:type="gramStart"/>
      <w:r>
        <w:rPr>
          <w:lang w:val="en-US"/>
        </w:rPr>
        <w:t>WHO</w:t>
      </w:r>
      <w:proofErr w:type="gramEnd"/>
      <w:r>
        <w:rPr>
          <w:lang w:val="en-US"/>
        </w:rPr>
        <w:tab/>
        <w:t>World Health Organization</w:t>
      </w:r>
    </w:p>
    <w:p w:rsidR="00090C13" w:rsidRDefault="00090C13" w:rsidP="003B2DBB">
      <w:pPr>
        <w:pStyle w:val="Heading1"/>
        <w:ind w:firstLine="284"/>
      </w:pPr>
    </w:p>
    <w:p w:rsidR="00090C13" w:rsidRDefault="00090C13" w:rsidP="00090C13"/>
    <w:p w:rsidR="00090C13" w:rsidRDefault="00090C13">
      <w:pPr>
        <w:spacing w:after="0" w:line="240" w:lineRule="auto"/>
      </w:pPr>
      <w:r>
        <w:br w:type="page"/>
      </w:r>
    </w:p>
    <w:p w:rsidR="00090C13" w:rsidRDefault="00090C13" w:rsidP="003B2DBB">
      <w:pPr>
        <w:pStyle w:val="Heading1"/>
        <w:ind w:firstLine="284"/>
      </w:pPr>
    </w:p>
    <w:p w:rsidR="001431C7" w:rsidRDefault="001431C7" w:rsidP="00090C13">
      <w:pPr>
        <w:pStyle w:val="Heading1"/>
      </w:pPr>
      <w:bookmarkStart w:id="4" w:name="_Toc332959996"/>
      <w:r>
        <w:t xml:space="preserve">1. </w:t>
      </w:r>
      <w:r w:rsidRPr="009B4C49">
        <w:t>Background</w:t>
      </w:r>
      <w:bookmarkEnd w:id="2"/>
      <w:bookmarkEnd w:id="4"/>
    </w:p>
    <w:p w:rsidR="00B02E4C" w:rsidRDefault="000C31E7" w:rsidP="00201CE8">
      <w:pPr>
        <w:spacing w:before="100" w:beforeAutospacing="1" w:after="100" w:afterAutospacing="1" w:line="276" w:lineRule="auto"/>
        <w:rPr>
          <w:rFonts w:ascii="Calibri" w:hAnsi="Calibri" w:cs="Calibri"/>
        </w:rPr>
      </w:pPr>
      <w:r>
        <w:rPr>
          <w:rFonts w:ascii="Calibri" w:hAnsi="Calibri" w:cs="Calibri"/>
        </w:rPr>
        <w:t>A</w:t>
      </w:r>
      <w:r w:rsidR="00CF65D2">
        <w:rPr>
          <w:rFonts w:ascii="Calibri" w:hAnsi="Calibri" w:cs="Calibri"/>
        </w:rPr>
        <w:t xml:space="preserve"> </w:t>
      </w:r>
      <w:r w:rsidR="001431C7" w:rsidRPr="00461964">
        <w:rPr>
          <w:rFonts w:ascii="Calibri" w:hAnsi="Calibri" w:cs="Calibri"/>
        </w:rPr>
        <w:t>review of FSANZ</w:t>
      </w:r>
      <w:r w:rsidR="00826B68">
        <w:rPr>
          <w:rFonts w:ascii="Calibri" w:hAnsi="Calibri" w:cs="Calibri"/>
        </w:rPr>
        <w:t>’</w:t>
      </w:r>
      <w:r w:rsidR="001431C7" w:rsidRPr="00461964">
        <w:rPr>
          <w:rFonts w:ascii="Calibri" w:hAnsi="Calibri" w:cs="Calibri"/>
        </w:rPr>
        <w:t>s risk assessment practices and procedures across different scientific disciplines is one of the key strategic objectives of the FSANZ Science Strategy for 2010</w:t>
      </w:r>
      <w:r w:rsidR="00841685">
        <w:rPr>
          <w:rFonts w:ascii="Calibri" w:hAnsi="Calibri" w:cs="Calibri"/>
        </w:rPr>
        <w:t>–</w:t>
      </w:r>
      <w:r w:rsidR="001431C7" w:rsidRPr="00461964">
        <w:rPr>
          <w:rFonts w:ascii="Calibri" w:hAnsi="Calibri" w:cs="Calibri"/>
        </w:rPr>
        <w:t xml:space="preserve">2015. The primary aim of the Science Strategy is to ensure that </w:t>
      </w:r>
      <w:r w:rsidR="00841685">
        <w:rPr>
          <w:rFonts w:ascii="Calibri" w:hAnsi="Calibri" w:cs="Calibri"/>
        </w:rPr>
        <w:t xml:space="preserve">FSANZ’s </w:t>
      </w:r>
      <w:r w:rsidR="001431C7" w:rsidRPr="00461964">
        <w:rPr>
          <w:rFonts w:ascii="Calibri" w:hAnsi="Calibri" w:cs="Calibri"/>
        </w:rPr>
        <w:t xml:space="preserve">science is consistently of the highest quality in order to inform food regulatory measures. </w:t>
      </w:r>
      <w:r w:rsidR="00036AB5" w:rsidRPr="00461964">
        <w:rPr>
          <w:rFonts w:ascii="Calibri" w:hAnsi="Calibri" w:cs="Calibri"/>
        </w:rPr>
        <w:t>As part of the 2006</w:t>
      </w:r>
      <w:r w:rsidR="00841685">
        <w:rPr>
          <w:rFonts w:ascii="Calibri" w:hAnsi="Calibri" w:cs="Calibri"/>
        </w:rPr>
        <w:t>–</w:t>
      </w:r>
      <w:r w:rsidR="00036AB5" w:rsidRPr="00461964">
        <w:rPr>
          <w:rFonts w:ascii="Calibri" w:hAnsi="Calibri" w:cs="Calibri"/>
        </w:rPr>
        <w:t xml:space="preserve">2009 Science Strategy, FSANZ commissioned independent peer reviews of its GM food safety practices and procedures, </w:t>
      </w:r>
      <w:r w:rsidR="00036AB5">
        <w:rPr>
          <w:rFonts w:ascii="Calibri" w:hAnsi="Calibri" w:cs="Calibri"/>
        </w:rPr>
        <w:t>d</w:t>
      </w:r>
      <w:r w:rsidR="00036AB5" w:rsidRPr="00461964">
        <w:rPr>
          <w:rFonts w:ascii="Calibri" w:hAnsi="Calibri" w:cs="Calibri"/>
        </w:rPr>
        <w:t xml:space="preserve">ietary </w:t>
      </w:r>
      <w:r w:rsidR="00036AB5">
        <w:rPr>
          <w:rFonts w:ascii="Calibri" w:hAnsi="Calibri" w:cs="Calibri"/>
        </w:rPr>
        <w:t>exposure assessment</w:t>
      </w:r>
      <w:r w:rsidR="00036AB5" w:rsidRPr="00461964">
        <w:rPr>
          <w:rFonts w:ascii="Calibri" w:hAnsi="Calibri" w:cs="Calibri"/>
        </w:rPr>
        <w:t xml:space="preserve"> practices and procedures and the food com</w:t>
      </w:r>
      <w:r w:rsidR="00036AB5">
        <w:rPr>
          <w:rFonts w:ascii="Calibri" w:hAnsi="Calibri" w:cs="Calibri"/>
        </w:rPr>
        <w:t>position program and databases. However, t</w:t>
      </w:r>
      <w:r w:rsidR="001431C7" w:rsidRPr="00461964">
        <w:rPr>
          <w:rFonts w:ascii="Calibri" w:hAnsi="Calibri" w:cs="Calibri"/>
        </w:rPr>
        <w:t xml:space="preserve">his is the first time FSANZ </w:t>
      </w:r>
      <w:r>
        <w:rPr>
          <w:rFonts w:ascii="Calibri" w:hAnsi="Calibri" w:cs="Calibri"/>
        </w:rPr>
        <w:t>has</w:t>
      </w:r>
      <w:r w:rsidR="001431C7" w:rsidRPr="00461964">
        <w:rPr>
          <w:rFonts w:ascii="Calibri" w:hAnsi="Calibri" w:cs="Calibri"/>
        </w:rPr>
        <w:t xml:space="preserve"> request</w:t>
      </w:r>
      <w:r>
        <w:rPr>
          <w:rFonts w:ascii="Calibri" w:hAnsi="Calibri" w:cs="Calibri"/>
        </w:rPr>
        <w:t>ed</w:t>
      </w:r>
      <w:r w:rsidR="001431C7" w:rsidRPr="00461964">
        <w:rPr>
          <w:rFonts w:ascii="Calibri" w:hAnsi="Calibri" w:cs="Calibri"/>
        </w:rPr>
        <w:t xml:space="preserve"> a review of its risk assessment practices and procedures a</w:t>
      </w:r>
      <w:r w:rsidR="00191F1A" w:rsidRPr="00461964">
        <w:rPr>
          <w:rFonts w:ascii="Calibri" w:hAnsi="Calibri" w:cs="Calibri"/>
        </w:rPr>
        <w:t xml:space="preserve">cross the scientific disciplines </w:t>
      </w:r>
      <w:r w:rsidR="001431C7" w:rsidRPr="00461964">
        <w:rPr>
          <w:rFonts w:ascii="Calibri" w:hAnsi="Calibri" w:cs="Calibri"/>
        </w:rPr>
        <w:t xml:space="preserve">concurrently. </w:t>
      </w:r>
    </w:p>
    <w:p w:rsidR="00AD38EF" w:rsidRDefault="00B02E4C" w:rsidP="00201CE8">
      <w:pPr>
        <w:spacing w:before="100" w:beforeAutospacing="1" w:after="100" w:afterAutospacing="1" w:line="276" w:lineRule="auto"/>
        <w:rPr>
          <w:rFonts w:ascii="Calibri" w:hAnsi="Calibri" w:cs="Calibri"/>
        </w:rPr>
      </w:pPr>
      <w:r w:rsidRPr="00461964">
        <w:rPr>
          <w:rFonts w:ascii="Calibri" w:hAnsi="Calibri" w:cs="Calibri"/>
        </w:rPr>
        <w:t xml:space="preserve">The </w:t>
      </w:r>
      <w:r w:rsidR="00E5670F">
        <w:rPr>
          <w:rFonts w:ascii="Calibri" w:hAnsi="Calibri" w:cs="Calibri"/>
        </w:rPr>
        <w:t>areas</w:t>
      </w:r>
      <w:r w:rsidR="003D1A66">
        <w:rPr>
          <w:rFonts w:ascii="Calibri" w:hAnsi="Calibri" w:cs="Calibri"/>
        </w:rPr>
        <w:t xml:space="preserve"> covered by this high level review included </w:t>
      </w:r>
      <w:r w:rsidRPr="00461964">
        <w:rPr>
          <w:rFonts w:ascii="Calibri" w:hAnsi="Calibri" w:cs="Calibri"/>
        </w:rPr>
        <w:t>chemical</w:t>
      </w:r>
      <w:r w:rsidR="00E5670F">
        <w:rPr>
          <w:rFonts w:ascii="Calibri" w:hAnsi="Calibri" w:cs="Calibri"/>
        </w:rPr>
        <w:t>,</w:t>
      </w:r>
      <w:r w:rsidRPr="00461964">
        <w:rPr>
          <w:rFonts w:ascii="Calibri" w:hAnsi="Calibri" w:cs="Calibri"/>
        </w:rPr>
        <w:t xml:space="preserve"> microbiological</w:t>
      </w:r>
      <w:r w:rsidR="00E5670F">
        <w:rPr>
          <w:rFonts w:ascii="Calibri" w:hAnsi="Calibri" w:cs="Calibri"/>
        </w:rPr>
        <w:t>,</w:t>
      </w:r>
      <w:r w:rsidR="003D1A66">
        <w:rPr>
          <w:rFonts w:ascii="Calibri" w:hAnsi="Calibri" w:cs="Calibri"/>
        </w:rPr>
        <w:t xml:space="preserve"> </w:t>
      </w:r>
      <w:r w:rsidRPr="00461964">
        <w:rPr>
          <w:rFonts w:ascii="Calibri" w:hAnsi="Calibri" w:cs="Calibri"/>
        </w:rPr>
        <w:t>GM food</w:t>
      </w:r>
      <w:r>
        <w:rPr>
          <w:rFonts w:ascii="Calibri" w:hAnsi="Calibri" w:cs="Calibri"/>
        </w:rPr>
        <w:t xml:space="preserve"> and</w:t>
      </w:r>
      <w:r w:rsidRPr="00461964">
        <w:rPr>
          <w:rFonts w:ascii="Calibri" w:hAnsi="Calibri" w:cs="Calibri"/>
        </w:rPr>
        <w:t xml:space="preserve"> nutritional risk assessment</w:t>
      </w:r>
      <w:r w:rsidR="00E5670F">
        <w:rPr>
          <w:rFonts w:ascii="Calibri" w:hAnsi="Calibri" w:cs="Calibri"/>
        </w:rPr>
        <w:t>, and surveillance and dietary exposure</w:t>
      </w:r>
      <w:r w:rsidRPr="00461964">
        <w:rPr>
          <w:rFonts w:ascii="Calibri" w:hAnsi="Calibri" w:cs="Calibri"/>
        </w:rPr>
        <w:t xml:space="preserve">. </w:t>
      </w:r>
      <w:r w:rsidR="003D1A66">
        <w:rPr>
          <w:rFonts w:ascii="Calibri" w:hAnsi="Calibri" w:cs="Calibri"/>
        </w:rPr>
        <w:t>The f</w:t>
      </w:r>
      <w:r w:rsidRPr="00461964">
        <w:rPr>
          <w:rFonts w:ascii="Calibri" w:hAnsi="Calibri" w:cs="Calibri"/>
        </w:rPr>
        <w:t xml:space="preserve">ocus was on overall principles, in particular soundness and transparency of process, rather than on a detailed review of the content of specific risk assessments. </w:t>
      </w:r>
    </w:p>
    <w:p w:rsidR="001431C7" w:rsidRPr="00461964" w:rsidRDefault="003D1A66" w:rsidP="00201CE8">
      <w:pPr>
        <w:spacing w:before="100" w:beforeAutospacing="1" w:after="100" w:afterAutospacing="1" w:line="276" w:lineRule="auto"/>
        <w:rPr>
          <w:rFonts w:ascii="Calibri" w:hAnsi="Calibri" w:cs="Calibri"/>
        </w:rPr>
      </w:pPr>
      <w:r>
        <w:rPr>
          <w:rFonts w:ascii="Calibri" w:hAnsi="Calibri" w:cs="Calibri"/>
        </w:rPr>
        <w:t xml:space="preserve">FSANZ’s </w:t>
      </w:r>
      <w:r w:rsidR="001431C7" w:rsidRPr="00461964">
        <w:rPr>
          <w:rFonts w:ascii="Calibri" w:hAnsi="Calibri" w:cs="Calibri"/>
        </w:rPr>
        <w:t xml:space="preserve">Chief Scientist, Dr Paul Brent, approached Dr Angelika Tritscher in the </w:t>
      </w:r>
      <w:r w:rsidR="00E071A3">
        <w:rPr>
          <w:rFonts w:ascii="Calibri" w:hAnsi="Calibri" w:cs="Calibri"/>
        </w:rPr>
        <w:t>3</w:t>
      </w:r>
      <w:r w:rsidR="00E071A3" w:rsidRPr="00201CE8">
        <w:rPr>
          <w:rFonts w:ascii="Calibri" w:hAnsi="Calibri" w:cs="Calibri"/>
        </w:rPr>
        <w:t>rd</w:t>
      </w:r>
      <w:r w:rsidR="00E071A3">
        <w:rPr>
          <w:rFonts w:ascii="Calibri" w:hAnsi="Calibri" w:cs="Calibri"/>
        </w:rPr>
        <w:t xml:space="preserve"> quarter</w:t>
      </w:r>
      <w:r w:rsidR="00E071A3" w:rsidRPr="00461964">
        <w:rPr>
          <w:rFonts w:ascii="Calibri" w:hAnsi="Calibri" w:cs="Calibri"/>
        </w:rPr>
        <w:t xml:space="preserve"> </w:t>
      </w:r>
      <w:r w:rsidR="001431C7" w:rsidRPr="00461964">
        <w:rPr>
          <w:rFonts w:ascii="Calibri" w:hAnsi="Calibri" w:cs="Calibri"/>
        </w:rPr>
        <w:t xml:space="preserve">of 2011 to undertake </w:t>
      </w:r>
      <w:r>
        <w:rPr>
          <w:rFonts w:ascii="Calibri" w:hAnsi="Calibri" w:cs="Calibri"/>
        </w:rPr>
        <w:t>the</w:t>
      </w:r>
      <w:r w:rsidR="001431C7" w:rsidRPr="00461964">
        <w:rPr>
          <w:rFonts w:ascii="Calibri" w:hAnsi="Calibri" w:cs="Calibri"/>
        </w:rPr>
        <w:t xml:space="preserve"> review.  Detailed terms of reference were prepared and a teleconference </w:t>
      </w:r>
      <w:r>
        <w:rPr>
          <w:rFonts w:ascii="Calibri" w:hAnsi="Calibri" w:cs="Calibri"/>
        </w:rPr>
        <w:t xml:space="preserve">was </w:t>
      </w:r>
      <w:r w:rsidR="001431C7" w:rsidRPr="00461964">
        <w:rPr>
          <w:rFonts w:ascii="Calibri" w:hAnsi="Calibri" w:cs="Calibri"/>
        </w:rPr>
        <w:t xml:space="preserve">held to elaborate details and agree on the final </w:t>
      </w:r>
      <w:r w:rsidR="001431C7" w:rsidRPr="00090C13">
        <w:rPr>
          <w:rFonts w:ascii="Calibri" w:hAnsi="Calibri" w:cs="Calibri"/>
        </w:rPr>
        <w:t>TORs, see annex 1.</w:t>
      </w:r>
      <w:r w:rsidR="001431C7" w:rsidRPr="00461964">
        <w:rPr>
          <w:rFonts w:ascii="Calibri" w:hAnsi="Calibri" w:cs="Calibri"/>
        </w:rPr>
        <w:t xml:space="preserve"> Staff in the Chief Scientist</w:t>
      </w:r>
      <w:r>
        <w:rPr>
          <w:rFonts w:ascii="Calibri" w:hAnsi="Calibri" w:cs="Calibri"/>
        </w:rPr>
        <w:t>’s</w:t>
      </w:r>
      <w:r w:rsidR="001431C7" w:rsidRPr="00461964">
        <w:rPr>
          <w:rFonts w:ascii="Calibri" w:hAnsi="Calibri" w:cs="Calibri"/>
        </w:rPr>
        <w:t xml:space="preserve"> </w:t>
      </w:r>
      <w:r w:rsidR="00E071A3">
        <w:rPr>
          <w:rFonts w:ascii="Calibri" w:hAnsi="Calibri" w:cs="Calibri"/>
        </w:rPr>
        <w:t>branch</w:t>
      </w:r>
      <w:r w:rsidR="00E071A3" w:rsidRPr="00461964">
        <w:rPr>
          <w:rFonts w:ascii="Calibri" w:hAnsi="Calibri" w:cs="Calibri"/>
        </w:rPr>
        <w:t xml:space="preserve"> </w:t>
      </w:r>
      <w:r w:rsidR="001431C7" w:rsidRPr="00461964">
        <w:rPr>
          <w:rFonts w:ascii="Calibri" w:hAnsi="Calibri" w:cs="Calibri"/>
        </w:rPr>
        <w:t>prepared relevant</w:t>
      </w:r>
      <w:r w:rsidR="004C7B4F">
        <w:rPr>
          <w:rFonts w:ascii="Calibri" w:hAnsi="Calibri" w:cs="Calibri"/>
        </w:rPr>
        <w:t xml:space="preserve"> background</w:t>
      </w:r>
      <w:r w:rsidR="001431C7" w:rsidRPr="00461964">
        <w:rPr>
          <w:rFonts w:ascii="Calibri" w:hAnsi="Calibri" w:cs="Calibri"/>
        </w:rPr>
        <w:t xml:space="preserve"> information for the review and </w:t>
      </w:r>
      <w:r w:rsidR="004C7B4F">
        <w:rPr>
          <w:rFonts w:ascii="Calibri" w:hAnsi="Calibri" w:cs="Calibri"/>
        </w:rPr>
        <w:t>assisted</w:t>
      </w:r>
      <w:r w:rsidR="001431C7" w:rsidRPr="00461964">
        <w:rPr>
          <w:rFonts w:ascii="Calibri" w:hAnsi="Calibri" w:cs="Calibri"/>
        </w:rPr>
        <w:t xml:space="preserve"> Dr Tritscher </w:t>
      </w:r>
      <w:r w:rsidR="00B02E4C">
        <w:rPr>
          <w:rFonts w:ascii="Calibri" w:hAnsi="Calibri" w:cs="Calibri"/>
        </w:rPr>
        <w:t>throughout</w:t>
      </w:r>
      <w:r w:rsidR="001431C7" w:rsidRPr="00461964">
        <w:rPr>
          <w:rFonts w:ascii="Calibri" w:hAnsi="Calibri" w:cs="Calibri"/>
        </w:rPr>
        <w:t xml:space="preserve"> the review.</w:t>
      </w:r>
    </w:p>
    <w:p w:rsidR="001431C7" w:rsidRDefault="001431C7" w:rsidP="00090C13">
      <w:pPr>
        <w:pStyle w:val="Heading1"/>
      </w:pPr>
      <w:bookmarkStart w:id="5" w:name="_Toc322935488"/>
      <w:bookmarkStart w:id="6" w:name="_Toc332959997"/>
      <w:r w:rsidRPr="00CF5913">
        <w:t>2. Objectives</w:t>
      </w:r>
      <w:bookmarkEnd w:id="5"/>
      <w:bookmarkEnd w:id="6"/>
    </w:p>
    <w:p w:rsidR="001431C7" w:rsidRPr="00201CE8" w:rsidRDefault="001431C7" w:rsidP="00201CE8">
      <w:pPr>
        <w:pStyle w:val="ListParagraph"/>
        <w:numPr>
          <w:ilvl w:val="0"/>
          <w:numId w:val="40"/>
        </w:numPr>
        <w:spacing w:line="276" w:lineRule="auto"/>
        <w:rPr>
          <w:rFonts w:ascii="Calibri" w:hAnsi="Calibri" w:cs="Calibri"/>
          <w:b/>
        </w:rPr>
      </w:pPr>
      <w:r w:rsidRPr="00461964">
        <w:rPr>
          <w:rFonts w:ascii="Calibri" w:hAnsi="Calibri" w:cs="Calibri"/>
        </w:rPr>
        <w:t>To evaluate the current rigour of FSANZ’s risk assessment practices and procedures across the scientific disciplines at a high level and benchmark these against international best practice.</w:t>
      </w:r>
    </w:p>
    <w:p w:rsidR="00B30AE0" w:rsidRPr="00461964" w:rsidRDefault="00B30AE0" w:rsidP="00201CE8">
      <w:pPr>
        <w:pStyle w:val="ListParagraph"/>
        <w:spacing w:line="276" w:lineRule="auto"/>
        <w:rPr>
          <w:rFonts w:ascii="Calibri" w:hAnsi="Calibri" w:cs="Calibri"/>
          <w:b/>
        </w:rPr>
      </w:pPr>
    </w:p>
    <w:p w:rsidR="001431C7" w:rsidRDefault="001431C7" w:rsidP="00201CE8">
      <w:pPr>
        <w:pStyle w:val="ListParagraph"/>
        <w:numPr>
          <w:ilvl w:val="0"/>
          <w:numId w:val="40"/>
        </w:numPr>
        <w:spacing w:line="276" w:lineRule="auto"/>
        <w:rPr>
          <w:rFonts w:ascii="Calibri" w:hAnsi="Calibri" w:cs="Calibri"/>
        </w:rPr>
      </w:pPr>
      <w:r w:rsidRPr="00461964">
        <w:rPr>
          <w:rFonts w:ascii="Calibri" w:hAnsi="Calibri" w:cs="Calibri"/>
        </w:rPr>
        <w:t>To identify areas for improvement so that FSANZ’s standards development process continues to be supported by robust risk assessments.</w:t>
      </w:r>
    </w:p>
    <w:p w:rsidR="00B30AE0" w:rsidRPr="00201CE8" w:rsidRDefault="00B30AE0" w:rsidP="00201CE8">
      <w:pPr>
        <w:pStyle w:val="ListParagraph"/>
        <w:rPr>
          <w:rFonts w:ascii="Calibri" w:hAnsi="Calibri" w:cs="Calibri"/>
        </w:rPr>
      </w:pPr>
    </w:p>
    <w:p w:rsidR="001431C7" w:rsidRPr="00201CE8" w:rsidRDefault="001431C7" w:rsidP="00201CE8">
      <w:pPr>
        <w:pStyle w:val="ListParagraph"/>
        <w:numPr>
          <w:ilvl w:val="0"/>
          <w:numId w:val="40"/>
        </w:numPr>
        <w:spacing w:line="276" w:lineRule="auto"/>
        <w:rPr>
          <w:rFonts w:ascii="Calibri" w:hAnsi="Calibri" w:cs="Calibri"/>
        </w:rPr>
      </w:pPr>
      <w:r w:rsidRPr="00461964">
        <w:rPr>
          <w:rFonts w:ascii="Calibri" w:hAnsi="Calibri" w:cs="Calibri"/>
        </w:rPr>
        <w:t>To provide recommendations to enhance these areas to ensure that FSANZ’s scientific capability continues to inform global risk assessments.</w:t>
      </w:r>
    </w:p>
    <w:p w:rsidR="00090C13" w:rsidRPr="00461964" w:rsidRDefault="00090C13" w:rsidP="00090C13">
      <w:pPr>
        <w:pStyle w:val="ListParagraph"/>
        <w:spacing w:line="360" w:lineRule="auto"/>
        <w:ind w:left="284"/>
        <w:rPr>
          <w:rFonts w:ascii="Calibri" w:hAnsi="Calibri" w:cs="Calibri"/>
          <w:b/>
        </w:rPr>
      </w:pPr>
    </w:p>
    <w:p w:rsidR="001431C7" w:rsidRPr="009B4C49" w:rsidRDefault="001431C7" w:rsidP="00090C13">
      <w:pPr>
        <w:pStyle w:val="Heading1"/>
      </w:pPr>
      <w:bookmarkStart w:id="7" w:name="_Toc322935489"/>
      <w:bookmarkStart w:id="8" w:name="_Toc332959998"/>
      <w:r>
        <w:t xml:space="preserve">3. </w:t>
      </w:r>
      <w:r w:rsidRPr="009B4C49">
        <w:t xml:space="preserve">Terms of </w:t>
      </w:r>
      <w:r w:rsidR="003D1A66">
        <w:t>r</w:t>
      </w:r>
      <w:r w:rsidRPr="009B4C49">
        <w:t>eference</w:t>
      </w:r>
      <w:bookmarkEnd w:id="7"/>
      <w:bookmarkEnd w:id="8"/>
    </w:p>
    <w:p w:rsidR="001431C7" w:rsidRPr="00461964" w:rsidRDefault="001431C7" w:rsidP="00201CE8">
      <w:pPr>
        <w:spacing w:before="100" w:beforeAutospacing="1" w:after="100" w:afterAutospacing="1" w:line="276" w:lineRule="auto"/>
        <w:rPr>
          <w:rFonts w:ascii="Calibri" w:hAnsi="Calibri" w:cs="Calibri"/>
        </w:rPr>
      </w:pPr>
      <w:r w:rsidRPr="00461964">
        <w:rPr>
          <w:rFonts w:ascii="Calibri" w:hAnsi="Calibri" w:cs="Calibri"/>
        </w:rPr>
        <w:t xml:space="preserve">Conduct a review of FSANZ’s risk assessment practices and procedures underpinning standards development. This </w:t>
      </w:r>
      <w:r w:rsidR="00E071A3">
        <w:rPr>
          <w:rFonts w:ascii="Calibri" w:hAnsi="Calibri" w:cs="Calibri"/>
        </w:rPr>
        <w:t>included</w:t>
      </w:r>
      <w:r w:rsidRPr="00461964">
        <w:rPr>
          <w:rFonts w:ascii="Calibri" w:hAnsi="Calibri" w:cs="Calibri"/>
        </w:rPr>
        <w:t xml:space="preserve"> the following:</w:t>
      </w:r>
    </w:p>
    <w:p w:rsidR="001431C7" w:rsidRPr="00201CE8" w:rsidRDefault="001431C7" w:rsidP="00201CE8">
      <w:pPr>
        <w:pStyle w:val="ListParagraph"/>
        <w:numPr>
          <w:ilvl w:val="0"/>
          <w:numId w:val="40"/>
        </w:numPr>
        <w:spacing w:line="276" w:lineRule="auto"/>
        <w:rPr>
          <w:rFonts w:ascii="Calibri" w:hAnsi="Calibri" w:cs="Calibri"/>
        </w:rPr>
      </w:pPr>
      <w:r w:rsidRPr="00461964">
        <w:rPr>
          <w:rFonts w:ascii="Calibri" w:hAnsi="Calibri" w:cs="Calibri"/>
        </w:rPr>
        <w:t>Benchmark FSANZ’s current risk assessment practices and procedures against international best practice, taking into consideration FSANZ’s available resources.</w:t>
      </w:r>
    </w:p>
    <w:p w:rsidR="001431C7" w:rsidRDefault="001431C7" w:rsidP="00201CE8">
      <w:pPr>
        <w:pStyle w:val="ListParagraph"/>
        <w:numPr>
          <w:ilvl w:val="0"/>
          <w:numId w:val="40"/>
        </w:numPr>
        <w:spacing w:line="276" w:lineRule="auto"/>
        <w:rPr>
          <w:rFonts w:ascii="Calibri" w:hAnsi="Calibri" w:cs="Calibri"/>
        </w:rPr>
      </w:pPr>
      <w:r w:rsidRPr="00461964">
        <w:rPr>
          <w:rFonts w:ascii="Calibri" w:hAnsi="Calibri" w:cs="Calibri"/>
        </w:rPr>
        <w:lastRenderedPageBreak/>
        <w:t>Review the format, content and presentation of FSANZ risk assessment reports and make recommendations on areas for improvement.</w:t>
      </w:r>
    </w:p>
    <w:p w:rsidR="00B30AE0" w:rsidRPr="00461964" w:rsidRDefault="00B30AE0" w:rsidP="00201CE8">
      <w:pPr>
        <w:pStyle w:val="ListParagraph"/>
        <w:spacing w:line="276" w:lineRule="auto"/>
        <w:rPr>
          <w:rFonts w:ascii="Calibri" w:hAnsi="Calibri" w:cs="Calibri"/>
        </w:rPr>
      </w:pPr>
    </w:p>
    <w:p w:rsidR="001431C7" w:rsidRDefault="001431C7" w:rsidP="00201CE8">
      <w:pPr>
        <w:pStyle w:val="ListParagraph"/>
        <w:numPr>
          <w:ilvl w:val="0"/>
          <w:numId w:val="40"/>
        </w:numPr>
        <w:spacing w:line="276" w:lineRule="auto"/>
        <w:rPr>
          <w:rFonts w:ascii="Calibri" w:hAnsi="Calibri" w:cs="Calibri"/>
        </w:rPr>
      </w:pPr>
      <w:r w:rsidRPr="00461964">
        <w:rPr>
          <w:rFonts w:ascii="Calibri" w:hAnsi="Calibri" w:cs="Calibri"/>
        </w:rPr>
        <w:t xml:space="preserve">Review the integration of risk assessment work across the different scientific </w:t>
      </w:r>
      <w:r w:rsidR="003D1A66">
        <w:rPr>
          <w:rFonts w:ascii="Calibri" w:hAnsi="Calibri" w:cs="Calibri"/>
        </w:rPr>
        <w:br/>
      </w:r>
      <w:r w:rsidRPr="00461964">
        <w:rPr>
          <w:rFonts w:ascii="Calibri" w:hAnsi="Calibri" w:cs="Calibri"/>
        </w:rPr>
        <w:t>disciplines</w:t>
      </w:r>
      <w:r w:rsidR="003D1A66">
        <w:rPr>
          <w:rFonts w:ascii="Calibri" w:hAnsi="Calibri" w:cs="Calibri"/>
        </w:rPr>
        <w:t>—</w:t>
      </w:r>
      <w:r w:rsidRPr="00461964">
        <w:rPr>
          <w:rFonts w:ascii="Calibri" w:hAnsi="Calibri" w:cs="Calibri"/>
        </w:rPr>
        <w:t>chemical, consumer and social science, data collection, exposure assessment, GM foods, microbiology and nutrition.</w:t>
      </w:r>
    </w:p>
    <w:p w:rsidR="00B30AE0" w:rsidRPr="00201CE8" w:rsidRDefault="00B30AE0" w:rsidP="00201CE8">
      <w:pPr>
        <w:pStyle w:val="ListParagraph"/>
        <w:rPr>
          <w:rFonts w:ascii="Calibri" w:hAnsi="Calibri" w:cs="Calibri"/>
        </w:rPr>
      </w:pPr>
    </w:p>
    <w:p w:rsidR="000C2471" w:rsidRDefault="001431C7" w:rsidP="00201CE8">
      <w:pPr>
        <w:pStyle w:val="ListParagraph"/>
        <w:numPr>
          <w:ilvl w:val="0"/>
          <w:numId w:val="40"/>
        </w:numPr>
        <w:spacing w:line="276" w:lineRule="auto"/>
        <w:rPr>
          <w:rFonts w:ascii="Calibri" w:hAnsi="Calibri" w:cs="Calibri"/>
        </w:rPr>
      </w:pPr>
      <w:r w:rsidRPr="00461964">
        <w:rPr>
          <w:rFonts w:ascii="Calibri" w:hAnsi="Calibri" w:cs="Calibri"/>
        </w:rPr>
        <w:t>Provide suggestions to improve the inputs from and integration of different scientific discipline</w:t>
      </w:r>
      <w:r w:rsidR="0089246C" w:rsidRPr="00461964">
        <w:rPr>
          <w:rFonts w:ascii="Calibri" w:hAnsi="Calibri" w:cs="Calibri"/>
        </w:rPr>
        <w:t>s in the risk assessment report.</w:t>
      </w:r>
    </w:p>
    <w:p w:rsidR="00B30AE0" w:rsidRDefault="00B30AE0" w:rsidP="00201CE8">
      <w:pPr>
        <w:pStyle w:val="ListParagraph"/>
        <w:spacing w:line="276" w:lineRule="auto"/>
        <w:rPr>
          <w:rFonts w:ascii="Calibri" w:hAnsi="Calibri" w:cs="Calibri"/>
        </w:rPr>
      </w:pPr>
    </w:p>
    <w:p w:rsidR="001431C7" w:rsidRDefault="001431C7" w:rsidP="00201CE8">
      <w:pPr>
        <w:pStyle w:val="ListParagraph"/>
        <w:numPr>
          <w:ilvl w:val="0"/>
          <w:numId w:val="40"/>
        </w:numPr>
        <w:spacing w:line="276" w:lineRule="auto"/>
        <w:rPr>
          <w:rFonts w:ascii="Calibri" w:hAnsi="Calibri" w:cs="Calibri"/>
        </w:rPr>
      </w:pPr>
      <w:r w:rsidRPr="00461964">
        <w:rPr>
          <w:rFonts w:ascii="Calibri" w:hAnsi="Calibri" w:cs="Calibri"/>
        </w:rPr>
        <w:t xml:space="preserve">Provide advice in relation to when it is reasonable to undertake a small scale versus full risk assessment. </w:t>
      </w:r>
    </w:p>
    <w:p w:rsidR="00B30AE0" w:rsidRPr="00461964" w:rsidRDefault="00B30AE0" w:rsidP="00201CE8">
      <w:pPr>
        <w:pStyle w:val="ListParagraph"/>
        <w:spacing w:line="276" w:lineRule="auto"/>
        <w:rPr>
          <w:rFonts w:ascii="Calibri" w:hAnsi="Calibri" w:cs="Calibri"/>
        </w:rPr>
      </w:pPr>
    </w:p>
    <w:p w:rsidR="001431C7" w:rsidRDefault="001431C7" w:rsidP="00201CE8">
      <w:pPr>
        <w:pStyle w:val="ListParagraph"/>
        <w:numPr>
          <w:ilvl w:val="0"/>
          <w:numId w:val="40"/>
        </w:numPr>
        <w:spacing w:line="276" w:lineRule="auto"/>
        <w:rPr>
          <w:rFonts w:ascii="Calibri" w:hAnsi="Calibri" w:cs="Calibri"/>
        </w:rPr>
      </w:pPr>
      <w:r w:rsidRPr="00461964">
        <w:rPr>
          <w:rFonts w:ascii="Calibri" w:hAnsi="Calibri" w:cs="Calibri"/>
        </w:rPr>
        <w:t>Review the process undertaken to formulate risk assessment questions and how they are subsequently addressed, including the interface between risk assessment and risk management functions.</w:t>
      </w:r>
    </w:p>
    <w:p w:rsidR="00B30AE0" w:rsidRPr="00201CE8" w:rsidRDefault="00B30AE0" w:rsidP="00201CE8">
      <w:pPr>
        <w:pStyle w:val="ListParagraph"/>
        <w:rPr>
          <w:rFonts w:ascii="Calibri" w:hAnsi="Calibri" w:cs="Calibri"/>
        </w:rPr>
      </w:pPr>
    </w:p>
    <w:p w:rsidR="001431C7" w:rsidRDefault="00E071A3" w:rsidP="003B2DBB">
      <w:pPr>
        <w:spacing w:after="0"/>
        <w:ind w:firstLine="284"/>
        <w:rPr>
          <w:rFonts w:asciiTheme="minorHAnsi" w:hAnsiTheme="minorHAnsi" w:cstheme="minorHAnsi"/>
          <w:lang w:val="en-GB"/>
        </w:rPr>
      </w:pPr>
      <w:r w:rsidRPr="00D22708">
        <w:rPr>
          <w:rFonts w:asciiTheme="minorHAnsi" w:hAnsiTheme="minorHAnsi" w:cstheme="minorHAnsi"/>
          <w:lang w:val="en-GB"/>
        </w:rPr>
        <w:t xml:space="preserve">The full </w:t>
      </w:r>
      <w:r w:rsidR="00CD078A">
        <w:rPr>
          <w:rFonts w:asciiTheme="minorHAnsi" w:hAnsiTheme="minorHAnsi" w:cstheme="minorHAnsi"/>
          <w:lang w:val="en-GB"/>
        </w:rPr>
        <w:t>t</w:t>
      </w:r>
      <w:r w:rsidRPr="00D22708">
        <w:rPr>
          <w:rFonts w:asciiTheme="minorHAnsi" w:hAnsiTheme="minorHAnsi" w:cstheme="minorHAnsi"/>
          <w:lang w:val="en-GB"/>
        </w:rPr>
        <w:t xml:space="preserve">erms of </w:t>
      </w:r>
      <w:r w:rsidR="00CD078A">
        <w:rPr>
          <w:rFonts w:asciiTheme="minorHAnsi" w:hAnsiTheme="minorHAnsi" w:cstheme="minorHAnsi"/>
          <w:lang w:val="en-GB"/>
        </w:rPr>
        <w:t>r</w:t>
      </w:r>
      <w:r w:rsidRPr="00D22708">
        <w:rPr>
          <w:rFonts w:asciiTheme="minorHAnsi" w:hAnsiTheme="minorHAnsi" w:cstheme="minorHAnsi"/>
          <w:lang w:val="en-GB"/>
        </w:rPr>
        <w:t>eference are presented in Annex 1.</w:t>
      </w:r>
    </w:p>
    <w:p w:rsidR="00090C13" w:rsidRPr="00D22708" w:rsidRDefault="00090C13" w:rsidP="003B2DBB">
      <w:pPr>
        <w:spacing w:after="0"/>
        <w:ind w:firstLine="284"/>
        <w:rPr>
          <w:rFonts w:asciiTheme="minorHAnsi" w:hAnsiTheme="minorHAnsi" w:cstheme="minorHAnsi"/>
          <w:lang w:val="en-GB"/>
        </w:rPr>
      </w:pPr>
    </w:p>
    <w:p w:rsidR="001431C7" w:rsidRDefault="001431C7" w:rsidP="00090C13">
      <w:pPr>
        <w:pStyle w:val="Heading1"/>
      </w:pPr>
      <w:bookmarkStart w:id="9" w:name="_Toc322935490"/>
      <w:bookmarkStart w:id="10" w:name="_Toc332959999"/>
      <w:r>
        <w:t xml:space="preserve">4. Approach and </w:t>
      </w:r>
      <w:r w:rsidR="00CD078A">
        <w:t>p</w:t>
      </w:r>
      <w:r w:rsidRPr="009B4C49">
        <w:t>rocess</w:t>
      </w:r>
      <w:bookmarkEnd w:id="9"/>
      <w:bookmarkEnd w:id="10"/>
    </w:p>
    <w:p w:rsidR="001431C7" w:rsidRPr="00461964" w:rsidRDefault="001431C7" w:rsidP="00201CE8">
      <w:pPr>
        <w:spacing w:before="100" w:beforeAutospacing="1" w:after="100" w:afterAutospacing="1" w:line="276" w:lineRule="auto"/>
        <w:rPr>
          <w:rFonts w:ascii="Calibri" w:hAnsi="Calibri" w:cs="Calibri"/>
        </w:rPr>
      </w:pPr>
      <w:r w:rsidRPr="00461964">
        <w:rPr>
          <w:rFonts w:ascii="Calibri" w:hAnsi="Calibri" w:cs="Calibri"/>
        </w:rPr>
        <w:t xml:space="preserve">Key documentation was provided </w:t>
      </w:r>
      <w:r w:rsidR="00CD078A">
        <w:rPr>
          <w:rFonts w:ascii="Calibri" w:hAnsi="Calibri" w:cs="Calibri"/>
        </w:rPr>
        <w:t xml:space="preserve">to </w:t>
      </w:r>
      <w:r w:rsidRPr="00461964">
        <w:rPr>
          <w:rFonts w:ascii="Calibri" w:hAnsi="Calibri" w:cs="Calibri"/>
        </w:rPr>
        <w:t>prepar</w:t>
      </w:r>
      <w:r w:rsidR="00CD078A">
        <w:rPr>
          <w:rFonts w:ascii="Calibri" w:hAnsi="Calibri" w:cs="Calibri"/>
        </w:rPr>
        <w:t>e</w:t>
      </w:r>
      <w:r w:rsidRPr="00461964">
        <w:rPr>
          <w:rFonts w:ascii="Calibri" w:hAnsi="Calibri" w:cs="Calibri"/>
        </w:rPr>
        <w:t xml:space="preserve"> </w:t>
      </w:r>
      <w:r w:rsidR="00206C52">
        <w:rPr>
          <w:rFonts w:ascii="Calibri" w:hAnsi="Calibri" w:cs="Calibri"/>
        </w:rPr>
        <w:t xml:space="preserve">for </w:t>
      </w:r>
      <w:r w:rsidRPr="00461964">
        <w:rPr>
          <w:rFonts w:ascii="Calibri" w:hAnsi="Calibri" w:cs="Calibri"/>
        </w:rPr>
        <w:t xml:space="preserve">the review, and </w:t>
      </w:r>
      <w:r w:rsidR="00B30AE0">
        <w:rPr>
          <w:rFonts w:ascii="Calibri" w:hAnsi="Calibri" w:cs="Calibri"/>
        </w:rPr>
        <w:t xml:space="preserve">also for </w:t>
      </w:r>
      <w:r w:rsidRPr="00461964">
        <w:rPr>
          <w:rFonts w:ascii="Calibri" w:hAnsi="Calibri" w:cs="Calibri"/>
        </w:rPr>
        <w:t>a two week stay at FSANZ</w:t>
      </w:r>
      <w:r w:rsidR="00E071A3">
        <w:rPr>
          <w:rFonts w:ascii="Calibri" w:hAnsi="Calibri" w:cs="Calibri"/>
        </w:rPr>
        <w:t>’</w:t>
      </w:r>
      <w:r w:rsidRPr="00461964">
        <w:rPr>
          <w:rFonts w:ascii="Calibri" w:hAnsi="Calibri" w:cs="Calibri"/>
        </w:rPr>
        <w:t>s offices in Canberra</w:t>
      </w:r>
      <w:r w:rsidR="009A05AC" w:rsidRPr="00461964">
        <w:rPr>
          <w:rFonts w:ascii="Calibri" w:hAnsi="Calibri" w:cs="Calibri"/>
        </w:rPr>
        <w:t xml:space="preserve">. </w:t>
      </w:r>
      <w:r w:rsidR="00B30AE0">
        <w:rPr>
          <w:rFonts w:ascii="Calibri" w:hAnsi="Calibri" w:cs="Calibri"/>
        </w:rPr>
        <w:t>During the stay at FSANZ, d</w:t>
      </w:r>
      <w:r w:rsidRPr="00461964">
        <w:rPr>
          <w:rFonts w:ascii="Calibri" w:hAnsi="Calibri" w:cs="Calibri"/>
        </w:rPr>
        <w:t xml:space="preserve">etailed interviews </w:t>
      </w:r>
      <w:r w:rsidR="009A05AC" w:rsidRPr="00461964">
        <w:rPr>
          <w:rFonts w:ascii="Calibri" w:hAnsi="Calibri" w:cs="Calibri"/>
        </w:rPr>
        <w:t xml:space="preserve">were </w:t>
      </w:r>
      <w:r w:rsidR="00B30AE0">
        <w:rPr>
          <w:rFonts w:ascii="Calibri" w:hAnsi="Calibri" w:cs="Calibri"/>
        </w:rPr>
        <w:t>conducted</w:t>
      </w:r>
      <w:r w:rsidRPr="00461964">
        <w:rPr>
          <w:rFonts w:ascii="Calibri" w:hAnsi="Calibri" w:cs="Calibri"/>
        </w:rPr>
        <w:t xml:space="preserve"> with FSANZ staff and external stakeholders. The report was prepared subsequently and submitted to FSANZ. A detailed program of the </w:t>
      </w:r>
      <w:r w:rsidR="009A05AC" w:rsidRPr="00461964">
        <w:rPr>
          <w:rFonts w:ascii="Calibri" w:hAnsi="Calibri" w:cs="Calibri"/>
        </w:rPr>
        <w:t>work</w:t>
      </w:r>
      <w:r w:rsidRPr="00461964">
        <w:rPr>
          <w:rFonts w:ascii="Calibri" w:hAnsi="Calibri" w:cs="Calibri"/>
        </w:rPr>
        <w:t xml:space="preserve"> in Canberra is attached in </w:t>
      </w:r>
      <w:r w:rsidRPr="00090C13">
        <w:rPr>
          <w:rFonts w:ascii="Calibri" w:hAnsi="Calibri" w:cs="Calibri"/>
        </w:rPr>
        <w:t>Annex 2</w:t>
      </w:r>
      <w:r w:rsidR="0092570F">
        <w:rPr>
          <w:rFonts w:ascii="Calibri" w:hAnsi="Calibri" w:cs="Calibri"/>
        </w:rPr>
        <w:t>.</w:t>
      </w:r>
      <w:r w:rsidRPr="00461964">
        <w:rPr>
          <w:rFonts w:ascii="Calibri" w:hAnsi="Calibri" w:cs="Calibri"/>
        </w:rPr>
        <w:t xml:space="preserve"> </w:t>
      </w:r>
    </w:p>
    <w:p w:rsidR="001431C7" w:rsidRPr="009B4C49" w:rsidRDefault="001431C7" w:rsidP="00090C13">
      <w:pPr>
        <w:pStyle w:val="Heading1"/>
      </w:pPr>
      <w:bookmarkStart w:id="11" w:name="_Toc322935491"/>
      <w:bookmarkStart w:id="12" w:name="_Toc332960000"/>
      <w:r>
        <w:t>4.1. Documentation consulted</w:t>
      </w:r>
      <w:bookmarkEnd w:id="11"/>
      <w:bookmarkEnd w:id="12"/>
    </w:p>
    <w:p w:rsidR="001431C7" w:rsidRPr="00201CE8" w:rsidRDefault="001431C7" w:rsidP="00201CE8">
      <w:pPr>
        <w:spacing w:before="100" w:beforeAutospacing="1" w:after="100" w:afterAutospacing="1" w:line="276" w:lineRule="auto"/>
        <w:rPr>
          <w:rFonts w:ascii="Calibri" w:hAnsi="Calibri" w:cs="Calibri"/>
        </w:rPr>
      </w:pPr>
      <w:r w:rsidRPr="00461964">
        <w:rPr>
          <w:rFonts w:ascii="Calibri" w:hAnsi="Calibri" w:cs="Calibri"/>
        </w:rPr>
        <w:t xml:space="preserve">In preparation </w:t>
      </w:r>
      <w:r w:rsidR="00206C52">
        <w:rPr>
          <w:rFonts w:ascii="Calibri" w:hAnsi="Calibri" w:cs="Calibri"/>
        </w:rPr>
        <w:t>for</w:t>
      </w:r>
      <w:r w:rsidR="00206C52" w:rsidRPr="00461964">
        <w:rPr>
          <w:rFonts w:ascii="Calibri" w:hAnsi="Calibri" w:cs="Calibri"/>
        </w:rPr>
        <w:t xml:space="preserve"> </w:t>
      </w:r>
      <w:r w:rsidRPr="00461964">
        <w:rPr>
          <w:rFonts w:ascii="Calibri" w:hAnsi="Calibri" w:cs="Calibri"/>
        </w:rPr>
        <w:t>the review a number of documents were provided, describing the general principles and process of FSAN</w:t>
      </w:r>
      <w:r w:rsidR="00E071A3">
        <w:rPr>
          <w:rFonts w:ascii="Calibri" w:hAnsi="Calibri" w:cs="Calibri"/>
        </w:rPr>
        <w:t>Z</w:t>
      </w:r>
      <w:r w:rsidRPr="00461964">
        <w:rPr>
          <w:rFonts w:ascii="Calibri" w:hAnsi="Calibri" w:cs="Calibri"/>
        </w:rPr>
        <w:t xml:space="preserve"> risk assessment work. These included basic documents such as the  Application Handbook, the </w:t>
      </w:r>
      <w:r w:rsidRPr="00201CE8">
        <w:rPr>
          <w:rFonts w:ascii="Calibri" w:hAnsi="Calibri" w:cs="Calibri"/>
        </w:rPr>
        <w:t xml:space="preserve">FSANZ project management handbook, </w:t>
      </w:r>
      <w:r w:rsidRPr="00461964">
        <w:rPr>
          <w:rFonts w:ascii="Calibri" w:hAnsi="Calibri" w:cs="Calibri"/>
        </w:rPr>
        <w:t>FSANZ Science Strategy for 2010</w:t>
      </w:r>
      <w:r w:rsidR="00CD078A">
        <w:rPr>
          <w:rFonts w:ascii="Calibri" w:hAnsi="Calibri" w:cs="Calibri"/>
        </w:rPr>
        <w:t>–</w:t>
      </w:r>
      <w:r w:rsidRPr="00461964">
        <w:rPr>
          <w:rFonts w:ascii="Calibri" w:hAnsi="Calibri" w:cs="Calibri"/>
        </w:rPr>
        <w:t xml:space="preserve">2015 and the 2011 </w:t>
      </w:r>
      <w:r w:rsidR="00E071A3">
        <w:rPr>
          <w:rFonts w:ascii="Calibri" w:hAnsi="Calibri" w:cs="Calibri"/>
        </w:rPr>
        <w:t xml:space="preserve">Science Strategy </w:t>
      </w:r>
      <w:r w:rsidRPr="00461964">
        <w:rPr>
          <w:rFonts w:ascii="Calibri" w:hAnsi="Calibri" w:cs="Calibri"/>
        </w:rPr>
        <w:t>implementation plan; reports of previous reviews undertaken in specific risk assessment a</w:t>
      </w:r>
      <w:r w:rsidR="00CD078A">
        <w:rPr>
          <w:rFonts w:ascii="Calibri" w:hAnsi="Calibri" w:cs="Calibri"/>
        </w:rPr>
        <w:t>reas</w:t>
      </w:r>
      <w:r w:rsidRPr="00461964">
        <w:rPr>
          <w:rFonts w:ascii="Calibri" w:hAnsi="Calibri" w:cs="Calibri"/>
        </w:rPr>
        <w:t xml:space="preserve"> such as the report on the 2009 peer review of the FSANZ food composition program and databases, the report on the 2008 peer review of FSANZ GM food safety practices and procedures and the report on the 2007 peer review of the FSANZ </w:t>
      </w:r>
      <w:r w:rsidR="00206C52">
        <w:rPr>
          <w:rFonts w:ascii="Calibri" w:hAnsi="Calibri" w:cs="Calibri"/>
        </w:rPr>
        <w:t>d</w:t>
      </w:r>
      <w:r w:rsidR="00206C52" w:rsidRPr="00461964">
        <w:rPr>
          <w:rFonts w:ascii="Calibri" w:hAnsi="Calibri" w:cs="Calibri"/>
        </w:rPr>
        <w:t xml:space="preserve">ietary </w:t>
      </w:r>
      <w:r w:rsidR="009233DD">
        <w:rPr>
          <w:rFonts w:ascii="Calibri" w:hAnsi="Calibri" w:cs="Calibri"/>
        </w:rPr>
        <w:t>e</w:t>
      </w:r>
      <w:r w:rsidR="00206C52">
        <w:rPr>
          <w:rFonts w:ascii="Calibri" w:hAnsi="Calibri" w:cs="Calibri"/>
        </w:rPr>
        <w:t>xposure assessment</w:t>
      </w:r>
      <w:r w:rsidR="009233DD">
        <w:rPr>
          <w:rFonts w:ascii="Calibri" w:hAnsi="Calibri" w:cs="Calibri"/>
        </w:rPr>
        <w:t xml:space="preserve"> </w:t>
      </w:r>
      <w:r w:rsidRPr="00461964">
        <w:rPr>
          <w:rFonts w:ascii="Calibri" w:hAnsi="Calibri" w:cs="Calibri"/>
        </w:rPr>
        <w:t xml:space="preserve">practices and procedures. </w:t>
      </w:r>
      <w:r w:rsidR="005D7A20">
        <w:rPr>
          <w:rFonts w:ascii="Calibri" w:hAnsi="Calibri" w:cs="Calibri"/>
        </w:rPr>
        <w:t>R</w:t>
      </w:r>
      <w:r w:rsidRPr="00461964">
        <w:rPr>
          <w:rFonts w:ascii="Calibri" w:hAnsi="Calibri" w:cs="Calibri"/>
        </w:rPr>
        <w:t>ecent FSANZ risk assessment reports a</w:t>
      </w:r>
      <w:r w:rsidR="005D7A20">
        <w:rPr>
          <w:rFonts w:ascii="Calibri" w:hAnsi="Calibri" w:cs="Calibri"/>
        </w:rPr>
        <w:t>nd</w:t>
      </w:r>
      <w:r w:rsidRPr="00201CE8">
        <w:rPr>
          <w:rFonts w:ascii="Calibri" w:hAnsi="Calibri" w:cs="Calibri"/>
        </w:rPr>
        <w:t xml:space="preserve"> an example of the regular scientific and international activities report were also provided. Additional material was consulted throughout the review process, in particular specific risk assessment documents.</w:t>
      </w:r>
    </w:p>
    <w:p w:rsidR="001431C7" w:rsidRPr="00461964" w:rsidRDefault="001431C7" w:rsidP="00201CE8">
      <w:pPr>
        <w:spacing w:before="100" w:beforeAutospacing="1" w:after="100" w:afterAutospacing="1" w:line="276" w:lineRule="auto"/>
        <w:rPr>
          <w:rFonts w:ascii="Calibri" w:hAnsi="Calibri" w:cs="Calibri"/>
        </w:rPr>
      </w:pPr>
      <w:r w:rsidRPr="00461964">
        <w:rPr>
          <w:rFonts w:ascii="Calibri" w:hAnsi="Calibri" w:cs="Calibri"/>
        </w:rPr>
        <w:t xml:space="preserve">A list of key documents consulted before and during the review is attached in </w:t>
      </w:r>
      <w:r w:rsidR="00085CCF" w:rsidRPr="004E56D3">
        <w:rPr>
          <w:rFonts w:ascii="Calibri" w:hAnsi="Calibri" w:cs="Calibri"/>
        </w:rPr>
        <w:t>Annex 3</w:t>
      </w:r>
      <w:r w:rsidRPr="004E56D3">
        <w:rPr>
          <w:rFonts w:ascii="Calibri" w:hAnsi="Calibri" w:cs="Calibri"/>
        </w:rPr>
        <w:t>.</w:t>
      </w:r>
    </w:p>
    <w:p w:rsidR="001431C7" w:rsidRPr="00461964" w:rsidRDefault="001431C7" w:rsidP="003B2DBB">
      <w:pPr>
        <w:pStyle w:val="ListParagraph"/>
        <w:spacing w:line="360" w:lineRule="auto"/>
        <w:ind w:left="360" w:firstLine="284"/>
        <w:rPr>
          <w:rFonts w:ascii="Calibri" w:hAnsi="Calibri" w:cs="Calibri"/>
        </w:rPr>
      </w:pPr>
    </w:p>
    <w:p w:rsidR="001431C7" w:rsidRPr="00C51C88" w:rsidRDefault="001431C7" w:rsidP="004E56D3">
      <w:pPr>
        <w:pStyle w:val="Heading2"/>
      </w:pPr>
      <w:bookmarkStart w:id="13" w:name="_Toc322935492"/>
      <w:bookmarkStart w:id="14" w:name="_Toc332960001"/>
      <w:r>
        <w:lastRenderedPageBreak/>
        <w:t>4</w:t>
      </w:r>
      <w:r w:rsidRPr="00C51C88">
        <w:t>.2. Direct discussions/interviews</w:t>
      </w:r>
      <w:bookmarkEnd w:id="13"/>
      <w:bookmarkEnd w:id="14"/>
    </w:p>
    <w:p w:rsidR="001431C7" w:rsidRPr="00461964" w:rsidRDefault="001431C7" w:rsidP="00201CE8">
      <w:pPr>
        <w:spacing w:after="0"/>
        <w:rPr>
          <w:rFonts w:ascii="Calibri" w:hAnsi="Calibri" w:cs="Calibri"/>
        </w:rPr>
      </w:pPr>
      <w:r w:rsidRPr="00461964">
        <w:rPr>
          <w:rFonts w:ascii="Calibri" w:hAnsi="Calibri" w:cs="Calibri"/>
        </w:rPr>
        <w:t>Direct discussions were held with the following FSANZ staff:</w:t>
      </w:r>
    </w:p>
    <w:p w:rsidR="00E071A3" w:rsidRDefault="001431C7" w:rsidP="004E56D3">
      <w:pPr>
        <w:pStyle w:val="ListParagraph"/>
        <w:numPr>
          <w:ilvl w:val="0"/>
          <w:numId w:val="3"/>
        </w:numPr>
        <w:spacing w:line="360" w:lineRule="auto"/>
        <w:ind w:left="0" w:firstLine="284"/>
        <w:rPr>
          <w:rFonts w:ascii="Calibri" w:hAnsi="Calibri" w:cs="Calibri"/>
        </w:rPr>
      </w:pPr>
      <w:r w:rsidRPr="00461964">
        <w:rPr>
          <w:rFonts w:ascii="Calibri" w:hAnsi="Calibri" w:cs="Calibri"/>
        </w:rPr>
        <w:t>CEO (</w:t>
      </w:r>
      <w:r w:rsidR="005D7A20">
        <w:rPr>
          <w:rFonts w:ascii="Calibri" w:hAnsi="Calibri" w:cs="Calibri"/>
        </w:rPr>
        <w:t xml:space="preserve">Mr </w:t>
      </w:r>
      <w:r w:rsidRPr="00461964">
        <w:rPr>
          <w:rFonts w:ascii="Calibri" w:hAnsi="Calibri" w:cs="Calibri"/>
        </w:rPr>
        <w:t>Steve McCutcheon), Deputy CEO (</w:t>
      </w:r>
      <w:r w:rsidR="005D7A20">
        <w:rPr>
          <w:rFonts w:ascii="Calibri" w:hAnsi="Calibri" w:cs="Calibri"/>
        </w:rPr>
        <w:t xml:space="preserve">Ms </w:t>
      </w:r>
      <w:r w:rsidRPr="00461964">
        <w:rPr>
          <w:rFonts w:ascii="Calibri" w:hAnsi="Calibri" w:cs="Calibri"/>
        </w:rPr>
        <w:t>Melanie Fisher), Chief Scientist (</w:t>
      </w:r>
      <w:r w:rsidR="005D7A20">
        <w:rPr>
          <w:rFonts w:ascii="Calibri" w:hAnsi="Calibri" w:cs="Calibri"/>
        </w:rPr>
        <w:t xml:space="preserve">Dr </w:t>
      </w:r>
      <w:r w:rsidRPr="00461964">
        <w:rPr>
          <w:rFonts w:ascii="Calibri" w:hAnsi="Calibri" w:cs="Calibri"/>
        </w:rPr>
        <w:t>Paul Brent), General Man</w:t>
      </w:r>
      <w:r w:rsidR="00954655">
        <w:rPr>
          <w:rFonts w:ascii="Calibri" w:hAnsi="Calibri" w:cs="Calibri"/>
        </w:rPr>
        <w:t>a</w:t>
      </w:r>
      <w:r w:rsidRPr="00461964">
        <w:rPr>
          <w:rFonts w:ascii="Calibri" w:hAnsi="Calibri" w:cs="Calibri"/>
        </w:rPr>
        <w:t>ger Risk Assessment (</w:t>
      </w:r>
      <w:r w:rsidR="005D7A20">
        <w:rPr>
          <w:rFonts w:ascii="Calibri" w:hAnsi="Calibri" w:cs="Calibri"/>
        </w:rPr>
        <w:t xml:space="preserve">Dr </w:t>
      </w:r>
      <w:r w:rsidRPr="00461964">
        <w:rPr>
          <w:rFonts w:ascii="Calibri" w:hAnsi="Calibri" w:cs="Calibri"/>
        </w:rPr>
        <w:t>Andrew Bartholomaeus)</w:t>
      </w:r>
    </w:p>
    <w:p w:rsidR="001431C7" w:rsidRPr="00461964" w:rsidRDefault="00E071A3" w:rsidP="004E56D3">
      <w:pPr>
        <w:pStyle w:val="ListParagraph"/>
        <w:numPr>
          <w:ilvl w:val="0"/>
          <w:numId w:val="3"/>
        </w:numPr>
        <w:spacing w:line="360" w:lineRule="auto"/>
        <w:ind w:left="0" w:firstLine="284"/>
        <w:rPr>
          <w:rFonts w:ascii="Calibri" w:hAnsi="Calibri" w:cs="Calibri"/>
        </w:rPr>
      </w:pPr>
      <w:r>
        <w:rPr>
          <w:rFonts w:ascii="Calibri" w:hAnsi="Calibri" w:cs="Calibri"/>
        </w:rPr>
        <w:t xml:space="preserve">all </w:t>
      </w:r>
      <w:r w:rsidR="001431C7" w:rsidRPr="00461964">
        <w:rPr>
          <w:rFonts w:ascii="Calibri" w:hAnsi="Calibri" w:cs="Calibri"/>
        </w:rPr>
        <w:t>Executive</w:t>
      </w:r>
      <w:r>
        <w:rPr>
          <w:rFonts w:ascii="Calibri" w:hAnsi="Calibri" w:cs="Calibri"/>
        </w:rPr>
        <w:t xml:space="preserve"> members as a group</w:t>
      </w:r>
    </w:p>
    <w:p w:rsidR="001431C7" w:rsidRPr="00461964" w:rsidRDefault="00E071A3" w:rsidP="004E56D3">
      <w:pPr>
        <w:pStyle w:val="ListParagraph"/>
        <w:numPr>
          <w:ilvl w:val="0"/>
          <w:numId w:val="3"/>
        </w:numPr>
        <w:spacing w:line="360" w:lineRule="auto"/>
        <w:ind w:left="0" w:firstLine="284"/>
        <w:rPr>
          <w:rFonts w:ascii="Calibri" w:hAnsi="Calibri" w:cs="Calibri"/>
        </w:rPr>
      </w:pPr>
      <w:proofErr w:type="gramStart"/>
      <w:r>
        <w:rPr>
          <w:rFonts w:ascii="Calibri" w:hAnsi="Calibri" w:cs="Calibri"/>
        </w:rPr>
        <w:t>scientific</w:t>
      </w:r>
      <w:proofErr w:type="gramEnd"/>
      <w:r>
        <w:rPr>
          <w:rFonts w:ascii="Calibri" w:hAnsi="Calibri" w:cs="Calibri"/>
        </w:rPr>
        <w:t xml:space="preserve"> </w:t>
      </w:r>
      <w:r w:rsidR="00CA0C7B">
        <w:rPr>
          <w:rFonts w:ascii="Calibri" w:hAnsi="Calibri" w:cs="Calibri"/>
        </w:rPr>
        <w:t xml:space="preserve">and risk management </w:t>
      </w:r>
      <w:r w:rsidR="005D7A20">
        <w:rPr>
          <w:rFonts w:ascii="Calibri" w:hAnsi="Calibri" w:cs="Calibri"/>
        </w:rPr>
        <w:t>s</w:t>
      </w:r>
      <w:r w:rsidR="001431C7" w:rsidRPr="00461964">
        <w:rPr>
          <w:rFonts w:ascii="Calibri" w:hAnsi="Calibri" w:cs="Calibri"/>
        </w:rPr>
        <w:t xml:space="preserve">ection </w:t>
      </w:r>
      <w:r w:rsidR="005D7A20">
        <w:rPr>
          <w:rFonts w:ascii="Calibri" w:hAnsi="Calibri" w:cs="Calibri"/>
        </w:rPr>
        <w:t>m</w:t>
      </w:r>
      <w:r w:rsidR="001431C7" w:rsidRPr="00461964">
        <w:rPr>
          <w:rFonts w:ascii="Calibri" w:hAnsi="Calibri" w:cs="Calibri"/>
        </w:rPr>
        <w:t xml:space="preserve">anagers and some </w:t>
      </w:r>
      <w:r w:rsidR="006E13FC" w:rsidRPr="00461964">
        <w:rPr>
          <w:rFonts w:ascii="Calibri" w:hAnsi="Calibri" w:cs="Calibri"/>
        </w:rPr>
        <w:t>additional</w:t>
      </w:r>
      <w:r w:rsidR="001431C7" w:rsidRPr="00461964">
        <w:rPr>
          <w:rFonts w:ascii="Calibri" w:hAnsi="Calibri" w:cs="Calibri"/>
        </w:rPr>
        <w:t xml:space="preserve"> </w:t>
      </w:r>
      <w:r>
        <w:rPr>
          <w:rFonts w:ascii="Calibri" w:hAnsi="Calibri" w:cs="Calibri"/>
        </w:rPr>
        <w:t>senior scientists</w:t>
      </w:r>
      <w:r w:rsidR="005D7A20">
        <w:rPr>
          <w:rFonts w:ascii="Calibri" w:hAnsi="Calibri" w:cs="Calibri"/>
        </w:rPr>
        <w:t>.</w:t>
      </w:r>
      <w:r w:rsidR="00954655">
        <w:rPr>
          <w:rFonts w:ascii="Calibri" w:hAnsi="Calibri" w:cs="Calibri"/>
        </w:rPr>
        <w:t xml:space="preserve"> </w:t>
      </w:r>
      <w:r w:rsidR="005D7A20">
        <w:rPr>
          <w:rFonts w:ascii="Calibri" w:hAnsi="Calibri" w:cs="Calibri"/>
        </w:rPr>
        <w:t>D</w:t>
      </w:r>
      <w:r w:rsidR="00954655">
        <w:rPr>
          <w:rFonts w:ascii="Calibri" w:hAnsi="Calibri" w:cs="Calibri"/>
        </w:rPr>
        <w:t>iscussions were held either individually or as part of broader groups of similar interest</w:t>
      </w:r>
      <w:r w:rsidR="005D7A20">
        <w:rPr>
          <w:rFonts w:ascii="Calibri" w:hAnsi="Calibri" w:cs="Calibri"/>
        </w:rPr>
        <w:t>.</w:t>
      </w:r>
    </w:p>
    <w:p w:rsidR="004E56D3" w:rsidRDefault="004E56D3" w:rsidP="004E56D3">
      <w:pPr>
        <w:pStyle w:val="ListParagraph"/>
        <w:spacing w:line="360" w:lineRule="auto"/>
        <w:ind w:left="0" w:firstLine="284"/>
        <w:rPr>
          <w:rFonts w:ascii="Calibri" w:hAnsi="Calibri" w:cs="Calibri"/>
        </w:rPr>
      </w:pPr>
    </w:p>
    <w:p w:rsidR="001431C7" w:rsidRPr="00201CE8" w:rsidRDefault="001431C7" w:rsidP="00201CE8">
      <w:pPr>
        <w:rPr>
          <w:rFonts w:ascii="Calibri" w:hAnsi="Calibri" w:cs="Calibri"/>
        </w:rPr>
      </w:pPr>
      <w:r w:rsidRPr="00201CE8">
        <w:rPr>
          <w:rFonts w:ascii="Calibri" w:hAnsi="Calibri" w:cs="Calibri"/>
        </w:rPr>
        <w:t>Discussions were also held with key stakeholders:</w:t>
      </w:r>
    </w:p>
    <w:p w:rsidR="00DF5A83" w:rsidRDefault="001431C7" w:rsidP="004E56D3">
      <w:pPr>
        <w:pStyle w:val="ListParagraph"/>
        <w:numPr>
          <w:ilvl w:val="0"/>
          <w:numId w:val="3"/>
        </w:numPr>
        <w:ind w:left="0" w:firstLine="284"/>
        <w:rPr>
          <w:rFonts w:ascii="Calibri" w:hAnsi="Calibri" w:cs="Calibri"/>
        </w:rPr>
      </w:pPr>
      <w:r w:rsidRPr="00461964">
        <w:rPr>
          <w:rFonts w:ascii="Calibri" w:hAnsi="Calibri" w:cs="Calibri"/>
        </w:rPr>
        <w:t>Other government agencies:</w:t>
      </w:r>
    </w:p>
    <w:p w:rsidR="00DF5A83" w:rsidRPr="00201CE8" w:rsidRDefault="00DF5A83" w:rsidP="00201CE8">
      <w:pPr>
        <w:pStyle w:val="ListParagraph"/>
        <w:numPr>
          <w:ilvl w:val="0"/>
          <w:numId w:val="36"/>
        </w:numPr>
        <w:rPr>
          <w:rFonts w:asciiTheme="minorHAnsi" w:hAnsiTheme="minorHAnsi" w:cstheme="minorHAnsi"/>
        </w:rPr>
      </w:pPr>
      <w:r w:rsidRPr="00201CE8">
        <w:rPr>
          <w:rFonts w:asciiTheme="minorHAnsi" w:hAnsiTheme="minorHAnsi" w:cstheme="minorHAnsi"/>
        </w:rPr>
        <w:t>Department of Agriculture Fisheries and Forestry (DAFF)</w:t>
      </w:r>
    </w:p>
    <w:p w:rsidR="00DF5A83" w:rsidRPr="00201CE8" w:rsidRDefault="00DF5A83" w:rsidP="00201CE8">
      <w:pPr>
        <w:pStyle w:val="ListParagraph"/>
        <w:numPr>
          <w:ilvl w:val="0"/>
          <w:numId w:val="36"/>
        </w:numPr>
        <w:rPr>
          <w:rFonts w:asciiTheme="minorHAnsi" w:hAnsiTheme="minorHAnsi" w:cstheme="minorHAnsi"/>
        </w:rPr>
      </w:pPr>
      <w:r w:rsidRPr="00201CE8">
        <w:rPr>
          <w:rFonts w:asciiTheme="minorHAnsi" w:hAnsiTheme="minorHAnsi" w:cstheme="minorHAnsi"/>
        </w:rPr>
        <w:t>Australian Quarantine and Inspection Service (AQIS)</w:t>
      </w:r>
      <w:r w:rsidR="0092570F" w:rsidRPr="00201CE8">
        <w:rPr>
          <w:rFonts w:asciiTheme="minorHAnsi" w:hAnsiTheme="minorHAnsi" w:cstheme="minorHAnsi"/>
        </w:rPr>
        <w:t xml:space="preserve">, now known as DAFF </w:t>
      </w:r>
    </w:p>
    <w:p w:rsidR="00DF5A83" w:rsidRPr="00DF5A83" w:rsidRDefault="00DF5A83" w:rsidP="00201CE8">
      <w:pPr>
        <w:pStyle w:val="ListParagraph"/>
        <w:numPr>
          <w:ilvl w:val="0"/>
          <w:numId w:val="36"/>
        </w:numPr>
        <w:rPr>
          <w:rFonts w:asciiTheme="minorHAnsi" w:hAnsiTheme="minorHAnsi" w:cstheme="minorHAnsi"/>
        </w:rPr>
      </w:pPr>
      <w:r w:rsidRPr="00DF5A83">
        <w:rPr>
          <w:rFonts w:asciiTheme="minorHAnsi" w:hAnsiTheme="minorHAnsi" w:cstheme="minorHAnsi"/>
        </w:rPr>
        <w:t>Australian Pesticides and Veterinary Medicine Authority (APVMA)</w:t>
      </w:r>
    </w:p>
    <w:p w:rsidR="00DF5A83" w:rsidRPr="00DF5A83" w:rsidRDefault="00DF5A83" w:rsidP="00201CE8">
      <w:pPr>
        <w:pStyle w:val="ListParagraph"/>
        <w:numPr>
          <w:ilvl w:val="0"/>
          <w:numId w:val="36"/>
        </w:numPr>
        <w:rPr>
          <w:rFonts w:asciiTheme="minorHAnsi" w:hAnsiTheme="minorHAnsi" w:cstheme="minorHAnsi"/>
        </w:rPr>
      </w:pPr>
      <w:r w:rsidRPr="00DF5A83">
        <w:rPr>
          <w:rFonts w:asciiTheme="minorHAnsi" w:hAnsiTheme="minorHAnsi" w:cstheme="minorHAnsi"/>
        </w:rPr>
        <w:t>Office of the Gene Technology Regulator (OGTR)</w:t>
      </w:r>
    </w:p>
    <w:p w:rsidR="00DF5A83" w:rsidRDefault="00DF5A83" w:rsidP="00201CE8">
      <w:pPr>
        <w:pStyle w:val="ListParagraph"/>
        <w:numPr>
          <w:ilvl w:val="0"/>
          <w:numId w:val="36"/>
        </w:numPr>
        <w:rPr>
          <w:rFonts w:asciiTheme="minorHAnsi" w:hAnsiTheme="minorHAnsi" w:cstheme="minorHAnsi"/>
        </w:rPr>
      </w:pPr>
      <w:r w:rsidRPr="00DF5A83">
        <w:rPr>
          <w:rFonts w:asciiTheme="minorHAnsi" w:hAnsiTheme="minorHAnsi" w:cstheme="minorHAnsi"/>
        </w:rPr>
        <w:t>New Zealand Ministry of Agr</w:t>
      </w:r>
      <w:r>
        <w:rPr>
          <w:rFonts w:asciiTheme="minorHAnsi" w:hAnsiTheme="minorHAnsi" w:cstheme="minorHAnsi"/>
        </w:rPr>
        <w:t>iculture and Fisheries (NZ MAF)</w:t>
      </w:r>
      <w:r w:rsidR="00D71078">
        <w:rPr>
          <w:rFonts w:asciiTheme="minorHAnsi" w:hAnsiTheme="minorHAnsi" w:cstheme="minorHAnsi"/>
        </w:rPr>
        <w:t>, now known as New Zealand Ministry for Primary Industries</w:t>
      </w:r>
      <w:r w:rsidR="00B30AE0">
        <w:rPr>
          <w:rFonts w:asciiTheme="minorHAnsi" w:hAnsiTheme="minorHAnsi" w:cstheme="minorHAnsi"/>
        </w:rPr>
        <w:t>.</w:t>
      </w:r>
    </w:p>
    <w:p w:rsidR="00DF5A83" w:rsidRPr="00DF5A83" w:rsidRDefault="00DF5A83" w:rsidP="004E56D3">
      <w:pPr>
        <w:pStyle w:val="ListParagraph"/>
        <w:ind w:left="0" w:firstLine="284"/>
        <w:rPr>
          <w:rFonts w:asciiTheme="minorHAnsi" w:hAnsiTheme="minorHAnsi" w:cstheme="minorHAnsi"/>
        </w:rPr>
      </w:pPr>
    </w:p>
    <w:p w:rsidR="001431C7" w:rsidRDefault="001431C7" w:rsidP="004E56D3">
      <w:pPr>
        <w:pStyle w:val="ListParagraph"/>
        <w:numPr>
          <w:ilvl w:val="0"/>
          <w:numId w:val="3"/>
        </w:numPr>
        <w:spacing w:before="120" w:after="60"/>
        <w:ind w:left="0" w:firstLine="284"/>
        <w:rPr>
          <w:rFonts w:asciiTheme="minorHAnsi" w:hAnsiTheme="minorHAnsi" w:cstheme="minorHAnsi"/>
          <w:sz w:val="18"/>
          <w:szCs w:val="18"/>
        </w:rPr>
      </w:pPr>
      <w:r w:rsidRPr="00461964">
        <w:rPr>
          <w:rFonts w:ascii="Calibri" w:hAnsi="Calibri" w:cs="Calibri"/>
        </w:rPr>
        <w:t>Industry sector</w:t>
      </w:r>
      <w:r w:rsidR="00DF5A83">
        <w:rPr>
          <w:rFonts w:ascii="Calibri" w:hAnsi="Calibri" w:cs="Calibri"/>
        </w:rPr>
        <w:t>:</w:t>
      </w:r>
      <w:r w:rsidRPr="00461964">
        <w:rPr>
          <w:rFonts w:ascii="Calibri" w:hAnsi="Calibri" w:cs="Calibri"/>
        </w:rPr>
        <w:t xml:space="preserve"> </w:t>
      </w:r>
      <w:r w:rsidR="00DF5A83" w:rsidRPr="00DF5A83">
        <w:rPr>
          <w:rFonts w:asciiTheme="minorHAnsi" w:hAnsiTheme="minorHAnsi" w:cstheme="minorHAnsi"/>
        </w:rPr>
        <w:t>Australian Food and Grocer</w:t>
      </w:r>
      <w:r w:rsidR="005D7A20">
        <w:rPr>
          <w:rFonts w:asciiTheme="minorHAnsi" w:hAnsiTheme="minorHAnsi" w:cstheme="minorHAnsi"/>
        </w:rPr>
        <w:t>y</w:t>
      </w:r>
      <w:r w:rsidR="00DF5A83" w:rsidRPr="00DF5A83">
        <w:rPr>
          <w:rFonts w:asciiTheme="minorHAnsi" w:hAnsiTheme="minorHAnsi" w:cstheme="minorHAnsi"/>
        </w:rPr>
        <w:t xml:space="preserve"> Council (AFGC)</w:t>
      </w:r>
      <w:r w:rsidR="00DF5A83" w:rsidRPr="00DF5A83">
        <w:rPr>
          <w:rFonts w:asciiTheme="minorHAnsi" w:hAnsiTheme="minorHAnsi" w:cstheme="minorHAnsi"/>
          <w:sz w:val="18"/>
          <w:szCs w:val="18"/>
        </w:rPr>
        <w:t xml:space="preserve"> </w:t>
      </w:r>
    </w:p>
    <w:p w:rsidR="00DF5A83" w:rsidRPr="00DF5A83" w:rsidRDefault="00DF5A83" w:rsidP="004E56D3">
      <w:pPr>
        <w:pStyle w:val="ListParagraph"/>
        <w:spacing w:before="120" w:after="60"/>
        <w:ind w:left="0" w:firstLine="284"/>
        <w:rPr>
          <w:rFonts w:asciiTheme="minorHAnsi" w:hAnsiTheme="minorHAnsi" w:cstheme="minorHAnsi"/>
          <w:sz w:val="18"/>
          <w:szCs w:val="18"/>
        </w:rPr>
      </w:pPr>
    </w:p>
    <w:p w:rsidR="001431C7" w:rsidRPr="00461964" w:rsidRDefault="0092570F" w:rsidP="004E56D3">
      <w:pPr>
        <w:pStyle w:val="ListParagraph"/>
        <w:numPr>
          <w:ilvl w:val="0"/>
          <w:numId w:val="3"/>
        </w:numPr>
        <w:spacing w:before="120" w:line="360" w:lineRule="auto"/>
        <w:ind w:left="0" w:firstLine="284"/>
        <w:rPr>
          <w:rFonts w:ascii="Calibri" w:hAnsi="Calibri" w:cs="Calibri"/>
        </w:rPr>
      </w:pPr>
      <w:r>
        <w:rPr>
          <w:rFonts w:ascii="Calibri" w:hAnsi="Calibri" w:cs="Calibri"/>
        </w:rPr>
        <w:t xml:space="preserve">One of the </w:t>
      </w:r>
      <w:r w:rsidR="00064512" w:rsidRPr="00461964">
        <w:rPr>
          <w:rFonts w:ascii="Calibri" w:hAnsi="Calibri" w:cs="Calibri"/>
        </w:rPr>
        <w:t>FSANZ</w:t>
      </w:r>
      <w:r w:rsidR="001431C7" w:rsidRPr="00461964">
        <w:rPr>
          <w:rFonts w:ascii="Calibri" w:hAnsi="Calibri" w:cs="Calibri"/>
        </w:rPr>
        <w:t xml:space="preserve"> fellow</w:t>
      </w:r>
      <w:r w:rsidR="00D71078">
        <w:rPr>
          <w:rFonts w:ascii="Calibri" w:hAnsi="Calibri" w:cs="Calibri"/>
        </w:rPr>
        <w:t>s</w:t>
      </w:r>
      <w:r w:rsidR="005D7A20">
        <w:rPr>
          <w:rFonts w:ascii="Calibri" w:hAnsi="Calibri" w:cs="Calibri"/>
        </w:rPr>
        <w:t>.</w:t>
      </w:r>
    </w:p>
    <w:p w:rsidR="001431C7" w:rsidRDefault="001431C7" w:rsidP="004E56D3">
      <w:pPr>
        <w:pStyle w:val="Heading2"/>
      </w:pPr>
      <w:bookmarkStart w:id="15" w:name="_Toc322935493"/>
      <w:bookmarkStart w:id="16" w:name="_Toc332960002"/>
      <w:r>
        <w:t>4</w:t>
      </w:r>
      <w:r w:rsidRPr="00C51C88">
        <w:t xml:space="preserve">.3. Workshop with </w:t>
      </w:r>
      <w:r w:rsidR="005D7A20">
        <w:t>j</w:t>
      </w:r>
      <w:r w:rsidRPr="00C51C88">
        <w:t>urisdictions</w:t>
      </w:r>
      <w:bookmarkEnd w:id="15"/>
      <w:bookmarkEnd w:id="16"/>
    </w:p>
    <w:p w:rsidR="00E3064E" w:rsidRDefault="001431C7" w:rsidP="00201CE8">
      <w:pPr>
        <w:pStyle w:val="ListParagraph"/>
        <w:ind w:left="0"/>
        <w:rPr>
          <w:rFonts w:ascii="Calibri" w:hAnsi="Calibri" w:cs="Calibri"/>
        </w:rPr>
      </w:pPr>
      <w:bookmarkStart w:id="17" w:name="_Toc322935494"/>
      <w:r w:rsidRPr="00461964">
        <w:rPr>
          <w:rFonts w:ascii="Calibri" w:hAnsi="Calibri" w:cs="Calibri"/>
        </w:rPr>
        <w:t xml:space="preserve">A </w:t>
      </w:r>
      <w:r w:rsidR="00E071A3">
        <w:rPr>
          <w:rFonts w:ascii="Calibri" w:hAnsi="Calibri" w:cs="Calibri"/>
        </w:rPr>
        <w:t xml:space="preserve">half day </w:t>
      </w:r>
      <w:r w:rsidRPr="00461964">
        <w:rPr>
          <w:rFonts w:ascii="Calibri" w:hAnsi="Calibri" w:cs="Calibri"/>
        </w:rPr>
        <w:t xml:space="preserve">workshop with </w:t>
      </w:r>
      <w:r w:rsidR="00E071A3">
        <w:rPr>
          <w:rFonts w:ascii="Calibri" w:hAnsi="Calibri" w:cs="Calibri"/>
        </w:rPr>
        <w:t xml:space="preserve">representatives of Australian </w:t>
      </w:r>
      <w:r w:rsidRPr="00461964">
        <w:rPr>
          <w:rFonts w:ascii="Calibri" w:hAnsi="Calibri" w:cs="Calibri"/>
        </w:rPr>
        <w:t>state and territor</w:t>
      </w:r>
      <w:r w:rsidR="00E071A3">
        <w:rPr>
          <w:rFonts w:ascii="Calibri" w:hAnsi="Calibri" w:cs="Calibri"/>
        </w:rPr>
        <w:t>y</w:t>
      </w:r>
      <w:r w:rsidRPr="00461964">
        <w:rPr>
          <w:rFonts w:ascii="Calibri" w:hAnsi="Calibri" w:cs="Calibri"/>
        </w:rPr>
        <w:t xml:space="preserve"> </w:t>
      </w:r>
      <w:r w:rsidR="00E071A3">
        <w:rPr>
          <w:rFonts w:ascii="Calibri" w:hAnsi="Calibri" w:cs="Calibri"/>
        </w:rPr>
        <w:t xml:space="preserve">food regulators </w:t>
      </w:r>
      <w:r w:rsidRPr="00B30AE0">
        <w:rPr>
          <w:rFonts w:ascii="Calibri" w:hAnsi="Calibri" w:cs="Calibri"/>
        </w:rPr>
        <w:t>was held on Monday 13th</w:t>
      </w:r>
      <w:r w:rsidR="00FE5B38" w:rsidRPr="00B30AE0">
        <w:rPr>
          <w:rFonts w:ascii="Calibri" w:hAnsi="Calibri" w:cs="Calibri"/>
        </w:rPr>
        <w:t xml:space="preserve"> Feb</w:t>
      </w:r>
      <w:r w:rsidR="00B30AE0">
        <w:rPr>
          <w:rFonts w:ascii="Calibri" w:hAnsi="Calibri" w:cs="Calibri"/>
        </w:rPr>
        <w:t>ruary</w:t>
      </w:r>
      <w:r w:rsidR="00FE5B38" w:rsidRPr="00B30AE0">
        <w:rPr>
          <w:rFonts w:ascii="Calibri" w:hAnsi="Calibri" w:cs="Calibri"/>
        </w:rPr>
        <w:t xml:space="preserve"> </w:t>
      </w:r>
      <w:r w:rsidR="006D72A5" w:rsidRPr="00B30AE0">
        <w:rPr>
          <w:rFonts w:ascii="Calibri" w:hAnsi="Calibri" w:cs="Calibri"/>
        </w:rPr>
        <w:t xml:space="preserve">2012 </w:t>
      </w:r>
      <w:r w:rsidR="00FE5B38" w:rsidRPr="00B30AE0">
        <w:rPr>
          <w:rFonts w:ascii="Calibri" w:hAnsi="Calibri" w:cs="Calibri"/>
        </w:rPr>
        <w:t xml:space="preserve">to </w:t>
      </w:r>
      <w:r w:rsidR="00D71078" w:rsidRPr="00B30AE0">
        <w:rPr>
          <w:rFonts w:ascii="Calibri" w:hAnsi="Calibri" w:cs="Calibri"/>
        </w:rPr>
        <w:t>obtain</w:t>
      </w:r>
      <w:r w:rsidRPr="00B30AE0">
        <w:rPr>
          <w:rFonts w:ascii="Calibri" w:hAnsi="Calibri" w:cs="Calibri"/>
        </w:rPr>
        <w:t xml:space="preserve"> their views on </w:t>
      </w:r>
      <w:r w:rsidR="006D72A5" w:rsidRPr="00B30AE0">
        <w:rPr>
          <w:rFonts w:ascii="Calibri" w:hAnsi="Calibri" w:cs="Calibri"/>
        </w:rPr>
        <w:t xml:space="preserve">the </w:t>
      </w:r>
      <w:r w:rsidRPr="00B30AE0">
        <w:rPr>
          <w:rFonts w:ascii="Calibri" w:hAnsi="Calibri" w:cs="Calibri"/>
        </w:rPr>
        <w:t>sound</w:t>
      </w:r>
      <w:r w:rsidR="00064512" w:rsidRPr="00B30AE0">
        <w:rPr>
          <w:rFonts w:ascii="Calibri" w:hAnsi="Calibri" w:cs="Calibri"/>
        </w:rPr>
        <w:t>ness and applicability of</w:t>
      </w:r>
      <w:r w:rsidR="00064512" w:rsidRPr="00461964">
        <w:rPr>
          <w:rFonts w:ascii="Calibri" w:hAnsi="Calibri" w:cs="Calibri"/>
        </w:rPr>
        <w:t xml:space="preserve"> FSANZ</w:t>
      </w:r>
      <w:r w:rsidRPr="00461964">
        <w:rPr>
          <w:rFonts w:ascii="Calibri" w:hAnsi="Calibri" w:cs="Calibri"/>
        </w:rPr>
        <w:t xml:space="preserve"> risk assessments</w:t>
      </w:r>
      <w:r w:rsidR="00D71078">
        <w:rPr>
          <w:rFonts w:ascii="Calibri" w:hAnsi="Calibri" w:cs="Calibri"/>
        </w:rPr>
        <w:t>,</w:t>
      </w:r>
      <w:r w:rsidRPr="00461964">
        <w:rPr>
          <w:rFonts w:ascii="Calibri" w:hAnsi="Calibri" w:cs="Calibri"/>
        </w:rPr>
        <w:t xml:space="preserve"> and views on the overall process.</w:t>
      </w:r>
      <w:bookmarkEnd w:id="17"/>
    </w:p>
    <w:p w:rsidR="00E3064E" w:rsidRDefault="00E3064E" w:rsidP="003B2DBB">
      <w:pPr>
        <w:pStyle w:val="ListParagraph"/>
        <w:ind w:firstLine="284"/>
        <w:rPr>
          <w:rFonts w:ascii="Calibri" w:hAnsi="Calibri" w:cs="Calibri"/>
        </w:rPr>
      </w:pPr>
    </w:p>
    <w:p w:rsidR="001431C7" w:rsidRPr="00A4253E" w:rsidRDefault="001431C7" w:rsidP="00E51047">
      <w:pPr>
        <w:pStyle w:val="Heading1"/>
      </w:pPr>
      <w:bookmarkStart w:id="18" w:name="_Toc322935496"/>
      <w:bookmarkStart w:id="19" w:name="_Toc332960003"/>
      <w:r w:rsidRPr="00A4253E">
        <w:t xml:space="preserve">5. Food </w:t>
      </w:r>
      <w:r w:rsidR="005D7A20">
        <w:t>r</w:t>
      </w:r>
      <w:r w:rsidRPr="00A4253E">
        <w:t xml:space="preserve">isk </w:t>
      </w:r>
      <w:r w:rsidR="005D7A20">
        <w:t>a</w:t>
      </w:r>
      <w:r w:rsidRPr="00A4253E">
        <w:t xml:space="preserve">ssessment </w:t>
      </w:r>
      <w:r w:rsidR="005D7A20">
        <w:t>p</w:t>
      </w:r>
      <w:r w:rsidRPr="00A4253E">
        <w:t xml:space="preserve">rinciples </w:t>
      </w:r>
      <w:r w:rsidR="005D7A20">
        <w:t>i</w:t>
      </w:r>
      <w:r w:rsidRPr="00A4253E">
        <w:t>nternationally</w:t>
      </w:r>
      <w:bookmarkEnd w:id="18"/>
      <w:bookmarkEnd w:id="19"/>
    </w:p>
    <w:p w:rsidR="00CA259C" w:rsidRDefault="00CA259C" w:rsidP="00E51047">
      <w:pPr>
        <w:pStyle w:val="Heading2"/>
        <w:rPr>
          <w:lang w:val="en-GB"/>
        </w:rPr>
      </w:pPr>
      <w:bookmarkStart w:id="20" w:name="_Toc332960004"/>
      <w:r>
        <w:rPr>
          <w:lang w:val="en-GB"/>
        </w:rPr>
        <w:t xml:space="preserve">5.1. Risk </w:t>
      </w:r>
      <w:r w:rsidR="005D7A20">
        <w:rPr>
          <w:lang w:val="en-GB"/>
        </w:rPr>
        <w:t>a</w:t>
      </w:r>
      <w:r>
        <w:rPr>
          <w:lang w:val="en-GB"/>
        </w:rPr>
        <w:t xml:space="preserve">ssessment in the </w:t>
      </w:r>
      <w:r w:rsidR="005D7A20">
        <w:rPr>
          <w:lang w:val="en-GB"/>
        </w:rPr>
        <w:t>c</w:t>
      </w:r>
      <w:r>
        <w:rPr>
          <w:lang w:val="en-GB"/>
        </w:rPr>
        <w:t xml:space="preserve">ontext of </w:t>
      </w:r>
      <w:r w:rsidR="005D7A20">
        <w:rPr>
          <w:lang w:val="en-GB"/>
        </w:rPr>
        <w:t>r</w:t>
      </w:r>
      <w:r>
        <w:rPr>
          <w:lang w:val="en-GB"/>
        </w:rPr>
        <w:t xml:space="preserve">isk </w:t>
      </w:r>
      <w:r w:rsidR="005D7A20">
        <w:rPr>
          <w:lang w:val="en-GB"/>
        </w:rPr>
        <w:t>a</w:t>
      </w:r>
      <w:r>
        <w:rPr>
          <w:lang w:val="en-GB"/>
        </w:rPr>
        <w:t>nalysis</w:t>
      </w:r>
      <w:bookmarkEnd w:id="20"/>
    </w:p>
    <w:p w:rsidR="00525D13" w:rsidRPr="00201CE8" w:rsidRDefault="00525D13" w:rsidP="00201CE8">
      <w:pPr>
        <w:spacing w:before="100" w:beforeAutospacing="1" w:after="100" w:afterAutospacing="1" w:line="276" w:lineRule="auto"/>
        <w:rPr>
          <w:rFonts w:ascii="Calibri" w:hAnsi="Calibri" w:cs="Calibri"/>
        </w:rPr>
      </w:pPr>
      <w:r w:rsidRPr="00201CE8">
        <w:rPr>
          <w:rFonts w:ascii="Calibri" w:hAnsi="Calibri" w:cs="Calibri"/>
        </w:rPr>
        <w:t xml:space="preserve">Risk assessment is the central scientific component of risk analysis and </w:t>
      </w:r>
      <w:r w:rsidR="00E605D2" w:rsidRPr="00201CE8">
        <w:rPr>
          <w:rFonts w:ascii="Calibri" w:hAnsi="Calibri" w:cs="Calibri"/>
        </w:rPr>
        <w:t xml:space="preserve">a well-defined process consisting of the following steps: hazard identification, hazard characterization, exposure assessment and risk characterization. </w:t>
      </w:r>
      <w:r w:rsidR="00EF182F" w:rsidRPr="00201CE8">
        <w:rPr>
          <w:rFonts w:ascii="Calibri" w:hAnsi="Calibri" w:cs="Calibri"/>
        </w:rPr>
        <w:t>Food r</w:t>
      </w:r>
      <w:r w:rsidRPr="00201CE8">
        <w:rPr>
          <w:rFonts w:ascii="Calibri" w:hAnsi="Calibri" w:cs="Calibri"/>
        </w:rPr>
        <w:t xml:space="preserve">isk assessment can generally </w:t>
      </w:r>
      <w:r w:rsidR="005D7A20" w:rsidRPr="00201CE8">
        <w:rPr>
          <w:rFonts w:ascii="Calibri" w:hAnsi="Calibri" w:cs="Calibri"/>
        </w:rPr>
        <w:t xml:space="preserve">be </w:t>
      </w:r>
      <w:r w:rsidRPr="00201CE8">
        <w:rPr>
          <w:rFonts w:ascii="Calibri" w:hAnsi="Calibri" w:cs="Calibri"/>
        </w:rPr>
        <w:t xml:space="preserve">described as characterizing the potential hazards and associated risks to </w:t>
      </w:r>
      <w:r w:rsidR="005D7A20" w:rsidRPr="00201CE8">
        <w:rPr>
          <w:rFonts w:ascii="Calibri" w:hAnsi="Calibri" w:cs="Calibri"/>
        </w:rPr>
        <w:t xml:space="preserve">the </w:t>
      </w:r>
      <w:r w:rsidRPr="00201CE8">
        <w:rPr>
          <w:rFonts w:ascii="Calibri" w:hAnsi="Calibri" w:cs="Calibri"/>
        </w:rPr>
        <w:t xml:space="preserve">life and health </w:t>
      </w:r>
      <w:r w:rsidR="005D7A20" w:rsidRPr="00201CE8">
        <w:rPr>
          <w:rFonts w:ascii="Calibri" w:hAnsi="Calibri" w:cs="Calibri"/>
        </w:rPr>
        <w:t xml:space="preserve">of humans </w:t>
      </w:r>
      <w:r w:rsidRPr="00201CE8">
        <w:rPr>
          <w:rFonts w:ascii="Calibri" w:hAnsi="Calibri" w:cs="Calibri"/>
        </w:rPr>
        <w:t xml:space="preserve">resulting from exposure </w:t>
      </w:r>
      <w:r w:rsidR="00614817" w:rsidRPr="00201CE8">
        <w:rPr>
          <w:rFonts w:ascii="Calibri" w:hAnsi="Calibri" w:cs="Calibri"/>
        </w:rPr>
        <w:t xml:space="preserve">over a specified period </w:t>
      </w:r>
      <w:r w:rsidRPr="00201CE8">
        <w:rPr>
          <w:rFonts w:ascii="Calibri" w:hAnsi="Calibri" w:cs="Calibri"/>
        </w:rPr>
        <w:t>of</w:t>
      </w:r>
      <w:r w:rsidR="005D7A20" w:rsidRPr="00201CE8">
        <w:rPr>
          <w:rFonts w:ascii="Calibri" w:hAnsi="Calibri" w:cs="Calibri"/>
        </w:rPr>
        <w:t xml:space="preserve"> time</w:t>
      </w:r>
      <w:r w:rsidRPr="00201CE8">
        <w:rPr>
          <w:rFonts w:ascii="Calibri" w:hAnsi="Calibri" w:cs="Calibri"/>
        </w:rPr>
        <w:t xml:space="preserve"> to </w:t>
      </w:r>
      <w:r w:rsidR="00E605D2" w:rsidRPr="00201CE8">
        <w:rPr>
          <w:rFonts w:ascii="Calibri" w:hAnsi="Calibri" w:cs="Calibri"/>
        </w:rPr>
        <w:t>hazards</w:t>
      </w:r>
      <w:r w:rsidRPr="00201CE8">
        <w:rPr>
          <w:rFonts w:ascii="Calibri" w:hAnsi="Calibri" w:cs="Calibri"/>
        </w:rPr>
        <w:t xml:space="preserve"> present in food. </w:t>
      </w:r>
    </w:p>
    <w:p w:rsidR="00E543A5" w:rsidRPr="00201CE8" w:rsidRDefault="00E3064E" w:rsidP="00201CE8">
      <w:pPr>
        <w:spacing w:before="100" w:beforeAutospacing="1" w:after="100" w:afterAutospacing="1" w:line="276" w:lineRule="auto"/>
        <w:rPr>
          <w:rFonts w:ascii="Calibri" w:hAnsi="Calibri" w:cs="Calibri"/>
        </w:rPr>
      </w:pPr>
      <w:r w:rsidRPr="00201CE8">
        <w:rPr>
          <w:rFonts w:ascii="Calibri" w:hAnsi="Calibri" w:cs="Calibri"/>
        </w:rPr>
        <w:t xml:space="preserve">Risk assessment is part of risk analysis, which is composed of the three components risk assessment, risk management and risk communication. </w:t>
      </w:r>
      <w:r w:rsidR="00E543A5" w:rsidRPr="00201CE8">
        <w:rPr>
          <w:rFonts w:ascii="Calibri" w:hAnsi="Calibri" w:cs="Calibri"/>
        </w:rPr>
        <w:t xml:space="preserve">The risk analysis paradigm (see Figure </w:t>
      </w:r>
      <w:r w:rsidR="00557982" w:rsidRPr="00201CE8">
        <w:rPr>
          <w:rFonts w:ascii="Calibri" w:hAnsi="Calibri" w:cs="Calibri"/>
        </w:rPr>
        <w:t>below</w:t>
      </w:r>
      <w:r w:rsidR="00E543A5" w:rsidRPr="00201CE8">
        <w:rPr>
          <w:rFonts w:ascii="Calibri" w:hAnsi="Calibri" w:cs="Calibri"/>
        </w:rPr>
        <w:t xml:space="preserve">) is a formal description of the risk analysis process that emphasizes the functional separation of its three components while at the same time demanding the need for communication and interaction between </w:t>
      </w:r>
      <w:r w:rsidR="00E543A5" w:rsidRPr="00201CE8">
        <w:rPr>
          <w:rFonts w:ascii="Calibri" w:hAnsi="Calibri" w:cs="Calibri"/>
        </w:rPr>
        <w:lastRenderedPageBreak/>
        <w:t xml:space="preserve">those with responsibility for each of the three components. Within risk analysis, the functional separation between risk assessors and risk managers is essential to ensure scientific objectivity of the risk assessment process. Further background information can be found in an FAO/WHO publication on food safety risk analysis (FAO/WHO, 2006). </w:t>
      </w:r>
    </w:p>
    <w:p w:rsidR="00E543A5" w:rsidRDefault="00E543A5" w:rsidP="003B2DBB">
      <w:pPr>
        <w:spacing w:after="0"/>
        <w:ind w:firstLine="284"/>
        <w:jc w:val="center"/>
        <w:rPr>
          <w:rFonts w:ascii="Calibri" w:hAnsi="Calibri" w:cs="Calibri"/>
          <w:lang w:val="en-GB"/>
        </w:rPr>
      </w:pPr>
      <w:r>
        <w:rPr>
          <w:rFonts w:ascii="Calibri" w:hAnsi="Calibri" w:cs="Calibri"/>
          <w:noProof/>
          <w:lang w:val="en-GB" w:eastAsia="en-GB"/>
        </w:rPr>
        <w:drawing>
          <wp:anchor distT="0" distB="0" distL="114300" distR="114300" simplePos="0" relativeHeight="251666432" behindDoc="0" locked="0" layoutInCell="0" allowOverlap="1" wp14:anchorId="3339108E" wp14:editId="2F3CD554">
            <wp:simplePos x="0" y="0"/>
            <wp:positionH relativeFrom="column">
              <wp:posOffset>632460</wp:posOffset>
            </wp:positionH>
            <wp:positionV relativeFrom="paragraph">
              <wp:posOffset>370205</wp:posOffset>
            </wp:positionV>
            <wp:extent cx="3831590" cy="305625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1590" cy="305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3A5" w:rsidRPr="00E543A5" w:rsidRDefault="00E543A5" w:rsidP="003B2DBB">
      <w:pPr>
        <w:spacing w:after="0"/>
        <w:ind w:firstLine="284"/>
        <w:rPr>
          <w:rFonts w:ascii="Calibri" w:hAnsi="Calibri" w:cs="Calibri"/>
          <w:lang w:val="en-GB"/>
        </w:rPr>
      </w:pPr>
    </w:p>
    <w:p w:rsidR="00275E9C" w:rsidRDefault="00275E9C" w:rsidP="003B2DBB">
      <w:pPr>
        <w:spacing w:after="0"/>
        <w:ind w:firstLine="284"/>
        <w:rPr>
          <w:rFonts w:ascii="Calibri" w:hAnsi="Calibri" w:cs="Calibri"/>
        </w:rPr>
      </w:pPr>
    </w:p>
    <w:p w:rsidR="009439D3" w:rsidRPr="00201CE8" w:rsidRDefault="00275E9C" w:rsidP="00201CE8">
      <w:pPr>
        <w:spacing w:before="100" w:beforeAutospacing="1" w:after="100" w:afterAutospacing="1" w:line="276" w:lineRule="auto"/>
        <w:rPr>
          <w:rFonts w:ascii="Calibri" w:hAnsi="Calibri" w:cs="Calibri"/>
        </w:rPr>
      </w:pPr>
      <w:r w:rsidRPr="00201CE8">
        <w:rPr>
          <w:rFonts w:ascii="Calibri" w:hAnsi="Calibri" w:cs="Calibri"/>
        </w:rPr>
        <w:t xml:space="preserve">The use of a structured risk analysis process facilitates consistent, science-based and orderly </w:t>
      </w:r>
      <w:r w:rsidR="00E663DE" w:rsidRPr="00201CE8">
        <w:rPr>
          <w:rFonts w:ascii="Calibri" w:hAnsi="Calibri" w:cs="Calibri"/>
        </w:rPr>
        <w:br/>
      </w:r>
      <w:r w:rsidRPr="00201CE8">
        <w:rPr>
          <w:rFonts w:ascii="Calibri" w:hAnsi="Calibri" w:cs="Calibri"/>
        </w:rPr>
        <w:t xml:space="preserve">decision-making in the area of food safety. The scientific part of this process, the risk assessment for food safety matters, is undertaken at an international level by joint FAO/WHO expert bodies. </w:t>
      </w:r>
      <w:r w:rsidR="009439D3" w:rsidRPr="00201CE8">
        <w:rPr>
          <w:rFonts w:ascii="Calibri" w:hAnsi="Calibri" w:cs="Calibri"/>
        </w:rPr>
        <w:t>The Joint FAO/WHO Expert Committee on Food Additives (JECFA) and the Joint FAO/WHO Meeting on Pesticide Residues (JMPR) have provided scientific advice to Member States of the Food and Agriculture Organization of the United Nations (FAO) and the World Health Organization (WHO) since 1956 and 1961, respectively, and to several general subject committees of the Codex Alimentarius Commission (CAC) since its formation in 1963. However, the structural framework for the interaction between both scientific bodies and the Codex committees was not formalized until the development and the adoptio</w:t>
      </w:r>
      <w:r w:rsidR="00C05812" w:rsidRPr="00201CE8">
        <w:rPr>
          <w:rFonts w:ascii="Calibri" w:hAnsi="Calibri" w:cs="Calibri"/>
        </w:rPr>
        <w:t xml:space="preserve">n of the risk analysis paradigm, which was </w:t>
      </w:r>
      <w:r w:rsidR="00557982" w:rsidRPr="00201CE8">
        <w:rPr>
          <w:rFonts w:ascii="Calibri" w:hAnsi="Calibri" w:cs="Calibri"/>
        </w:rPr>
        <w:t xml:space="preserve">introduced in the work of Codex in 1996 and </w:t>
      </w:r>
      <w:r w:rsidR="00C05812" w:rsidRPr="00201CE8">
        <w:rPr>
          <w:rFonts w:ascii="Calibri" w:hAnsi="Calibri" w:cs="Calibri"/>
        </w:rPr>
        <w:t xml:space="preserve">formally </w:t>
      </w:r>
      <w:r w:rsidR="00302E0C" w:rsidRPr="00201CE8">
        <w:rPr>
          <w:rFonts w:ascii="Calibri" w:hAnsi="Calibri" w:cs="Calibri"/>
        </w:rPr>
        <w:t xml:space="preserve">adopted </w:t>
      </w:r>
      <w:r w:rsidR="00557982" w:rsidRPr="00201CE8">
        <w:rPr>
          <w:rFonts w:ascii="Calibri" w:hAnsi="Calibri" w:cs="Calibri"/>
        </w:rPr>
        <w:t>in 2003</w:t>
      </w:r>
      <w:r w:rsidR="00302E0C" w:rsidRPr="00201CE8">
        <w:rPr>
          <w:rFonts w:ascii="Calibri" w:hAnsi="Calibri" w:cs="Calibri"/>
        </w:rPr>
        <w:t>.</w:t>
      </w:r>
    </w:p>
    <w:p w:rsidR="00CA259C" w:rsidRPr="00201CE8" w:rsidRDefault="00302E0C" w:rsidP="00201CE8">
      <w:pPr>
        <w:spacing w:before="100" w:beforeAutospacing="1" w:after="100" w:afterAutospacing="1" w:line="276" w:lineRule="auto"/>
        <w:rPr>
          <w:rFonts w:ascii="Calibri" w:hAnsi="Calibri" w:cs="Calibri"/>
        </w:rPr>
      </w:pPr>
      <w:r w:rsidRPr="00201CE8">
        <w:rPr>
          <w:rFonts w:ascii="Calibri" w:hAnsi="Calibri" w:cs="Calibri"/>
        </w:rPr>
        <w:t>Joint</w:t>
      </w:r>
      <w:r w:rsidR="00275E9C" w:rsidRPr="00201CE8">
        <w:rPr>
          <w:rFonts w:ascii="Calibri" w:hAnsi="Calibri" w:cs="Calibri"/>
        </w:rPr>
        <w:t xml:space="preserve"> exp</w:t>
      </w:r>
      <w:r w:rsidRPr="00201CE8">
        <w:rPr>
          <w:rFonts w:ascii="Calibri" w:hAnsi="Calibri" w:cs="Calibri"/>
        </w:rPr>
        <w:t>ert committees</w:t>
      </w:r>
      <w:r w:rsidR="00275E9C" w:rsidRPr="00201CE8">
        <w:rPr>
          <w:rFonts w:ascii="Calibri" w:hAnsi="Calibri" w:cs="Calibri"/>
        </w:rPr>
        <w:t xml:space="preserve"> base their evaluations on scientific principles and ensure necessary consistency in their risk assessment determinations. CAC and its respective committees that deal with </w:t>
      </w:r>
      <w:r w:rsidRPr="00201CE8">
        <w:rPr>
          <w:rFonts w:ascii="Calibri" w:hAnsi="Calibri" w:cs="Calibri"/>
        </w:rPr>
        <w:t>hazards</w:t>
      </w:r>
      <w:r w:rsidR="00275E9C" w:rsidRPr="00201CE8">
        <w:rPr>
          <w:rFonts w:ascii="Calibri" w:hAnsi="Calibri" w:cs="Calibri"/>
        </w:rPr>
        <w:t xml:space="preserve"> in food are responsible, as risk managers, for the final decisions on establishing</w:t>
      </w:r>
      <w:r w:rsidRPr="00201CE8">
        <w:rPr>
          <w:rFonts w:ascii="Calibri" w:hAnsi="Calibri" w:cs="Calibri"/>
        </w:rPr>
        <w:t xml:space="preserve"> </w:t>
      </w:r>
      <w:r w:rsidR="0092570F" w:rsidRPr="00201CE8">
        <w:rPr>
          <w:rFonts w:ascii="Calibri" w:hAnsi="Calibri" w:cs="Calibri"/>
        </w:rPr>
        <w:t xml:space="preserve">measures </w:t>
      </w:r>
      <w:r w:rsidRPr="00201CE8">
        <w:rPr>
          <w:rFonts w:ascii="Calibri" w:hAnsi="Calibri" w:cs="Calibri"/>
        </w:rPr>
        <w:t>e.g.</w:t>
      </w:r>
      <w:r w:rsidR="00275E9C" w:rsidRPr="00201CE8">
        <w:rPr>
          <w:rFonts w:ascii="Calibri" w:hAnsi="Calibri" w:cs="Calibri"/>
        </w:rPr>
        <w:t xml:space="preserve"> maximum limits for pesticide residues, veterinary drug residues, contaminants and additives in food and adopting other related measures.</w:t>
      </w:r>
    </w:p>
    <w:p w:rsidR="00302E0C" w:rsidRPr="00302E0C" w:rsidRDefault="00302E0C" w:rsidP="003B2DBB">
      <w:pPr>
        <w:tabs>
          <w:tab w:val="left" w:pos="720"/>
        </w:tabs>
        <w:spacing w:after="0"/>
        <w:ind w:firstLine="284"/>
        <w:rPr>
          <w:rFonts w:asciiTheme="minorHAnsi" w:hAnsiTheme="minorHAnsi" w:cstheme="minorHAnsi"/>
          <w:lang w:val="en-GB"/>
        </w:rPr>
      </w:pPr>
    </w:p>
    <w:p w:rsidR="00B96CD3" w:rsidRDefault="00CA259C" w:rsidP="00E51047">
      <w:pPr>
        <w:pStyle w:val="Heading2"/>
      </w:pPr>
      <w:bookmarkStart w:id="21" w:name="_Toc332960005"/>
      <w:r>
        <w:t xml:space="preserve">5.2. </w:t>
      </w:r>
      <w:r w:rsidR="00B96CD3" w:rsidRPr="00525D13">
        <w:t xml:space="preserve">Risk </w:t>
      </w:r>
      <w:r w:rsidR="009D419E">
        <w:t>a</w:t>
      </w:r>
      <w:r w:rsidR="00B96CD3" w:rsidRPr="00525D13">
        <w:t>ssessment principles and methods</w:t>
      </w:r>
      <w:bookmarkEnd w:id="21"/>
    </w:p>
    <w:p w:rsidR="00302E0C" w:rsidRPr="00201CE8" w:rsidRDefault="00D400DE" w:rsidP="00201CE8">
      <w:pPr>
        <w:spacing w:before="100" w:beforeAutospacing="1" w:after="100" w:afterAutospacing="1" w:line="276" w:lineRule="auto"/>
        <w:rPr>
          <w:rFonts w:ascii="Calibri" w:hAnsi="Calibri" w:cs="Calibri"/>
        </w:rPr>
      </w:pPr>
      <w:r w:rsidRPr="00201CE8">
        <w:rPr>
          <w:rFonts w:ascii="Calibri" w:hAnsi="Calibri" w:cs="Calibri"/>
        </w:rPr>
        <w:t>R</w:t>
      </w:r>
      <w:r w:rsidR="00302E0C" w:rsidRPr="00201CE8">
        <w:rPr>
          <w:rFonts w:ascii="Calibri" w:hAnsi="Calibri" w:cs="Calibri"/>
        </w:rPr>
        <w:t>isk assessment</w:t>
      </w:r>
      <w:r w:rsidRPr="00201CE8">
        <w:rPr>
          <w:rFonts w:ascii="Calibri" w:hAnsi="Calibri" w:cs="Calibri"/>
        </w:rPr>
        <w:t>s</w:t>
      </w:r>
      <w:r w:rsidR="00302E0C" w:rsidRPr="00201CE8">
        <w:rPr>
          <w:rFonts w:ascii="Calibri" w:hAnsi="Calibri" w:cs="Calibri"/>
        </w:rPr>
        <w:t xml:space="preserve"> of chemical substances used on or present in food</w:t>
      </w:r>
      <w:r w:rsidR="002C30F7" w:rsidRPr="00201CE8">
        <w:rPr>
          <w:rFonts w:ascii="Calibri" w:hAnsi="Calibri" w:cs="Calibri"/>
        </w:rPr>
        <w:t>,</w:t>
      </w:r>
      <w:r w:rsidR="00302E0C" w:rsidRPr="00201CE8">
        <w:rPr>
          <w:rFonts w:ascii="Calibri" w:hAnsi="Calibri" w:cs="Calibri"/>
        </w:rPr>
        <w:t xml:space="preserve"> ha</w:t>
      </w:r>
      <w:r w:rsidR="002C30F7" w:rsidRPr="00201CE8">
        <w:rPr>
          <w:rFonts w:ascii="Calibri" w:hAnsi="Calibri" w:cs="Calibri"/>
        </w:rPr>
        <w:t>ve</w:t>
      </w:r>
      <w:r w:rsidR="00302E0C" w:rsidRPr="00201CE8">
        <w:rPr>
          <w:rFonts w:ascii="Calibri" w:hAnsi="Calibri" w:cs="Calibri"/>
        </w:rPr>
        <w:t xml:space="preserve"> been undertaken f</w:t>
      </w:r>
      <w:r w:rsidR="00614817" w:rsidRPr="00201CE8">
        <w:rPr>
          <w:rFonts w:ascii="Calibri" w:hAnsi="Calibri" w:cs="Calibri"/>
        </w:rPr>
        <w:t>or over 50 years by FAO and WHO, through JECFA and JMPR</w:t>
      </w:r>
      <w:r w:rsidRPr="00201CE8">
        <w:rPr>
          <w:rFonts w:ascii="Calibri" w:hAnsi="Calibri" w:cs="Calibri"/>
        </w:rPr>
        <w:t>. These o</w:t>
      </w:r>
      <w:r w:rsidR="00302E0C" w:rsidRPr="00201CE8">
        <w:rPr>
          <w:rFonts w:ascii="Calibri" w:hAnsi="Calibri" w:cs="Calibri"/>
        </w:rPr>
        <w:t xml:space="preserve">rganizations </w:t>
      </w:r>
      <w:r w:rsidRPr="00201CE8">
        <w:rPr>
          <w:rFonts w:ascii="Calibri" w:hAnsi="Calibri" w:cs="Calibri"/>
        </w:rPr>
        <w:t xml:space="preserve">are </w:t>
      </w:r>
      <w:r w:rsidR="00302E0C" w:rsidRPr="00201CE8">
        <w:rPr>
          <w:rFonts w:ascii="Calibri" w:hAnsi="Calibri" w:cs="Calibri"/>
        </w:rPr>
        <w:t xml:space="preserve">long-standing </w:t>
      </w:r>
      <w:r w:rsidR="008A45B6" w:rsidRPr="00201CE8">
        <w:rPr>
          <w:rFonts w:ascii="Calibri" w:hAnsi="Calibri" w:cs="Calibri"/>
        </w:rPr>
        <w:t xml:space="preserve">global </w:t>
      </w:r>
      <w:r w:rsidR="00302E0C" w:rsidRPr="00201CE8">
        <w:rPr>
          <w:rFonts w:ascii="Calibri" w:hAnsi="Calibri" w:cs="Calibri"/>
        </w:rPr>
        <w:t>leade</w:t>
      </w:r>
      <w:r w:rsidRPr="00201CE8">
        <w:rPr>
          <w:rFonts w:ascii="Calibri" w:hAnsi="Calibri" w:cs="Calibri"/>
        </w:rPr>
        <w:t>rs</w:t>
      </w:r>
      <w:r w:rsidR="00302E0C" w:rsidRPr="00201CE8">
        <w:rPr>
          <w:rFonts w:ascii="Calibri" w:hAnsi="Calibri" w:cs="Calibri"/>
        </w:rPr>
        <w:t xml:space="preserve"> </w:t>
      </w:r>
      <w:r w:rsidRPr="00201CE8">
        <w:rPr>
          <w:rFonts w:ascii="Calibri" w:hAnsi="Calibri" w:cs="Calibri"/>
        </w:rPr>
        <w:t xml:space="preserve">in </w:t>
      </w:r>
      <w:r w:rsidR="00302E0C" w:rsidRPr="00201CE8">
        <w:rPr>
          <w:rFonts w:ascii="Calibri" w:hAnsi="Calibri" w:cs="Calibri"/>
        </w:rPr>
        <w:t xml:space="preserve">method development as well as </w:t>
      </w:r>
      <w:r w:rsidRPr="00201CE8">
        <w:rPr>
          <w:rFonts w:ascii="Calibri" w:hAnsi="Calibri" w:cs="Calibri"/>
        </w:rPr>
        <w:t xml:space="preserve">in </w:t>
      </w:r>
      <w:r w:rsidR="00302E0C" w:rsidRPr="00201CE8">
        <w:rPr>
          <w:rFonts w:ascii="Calibri" w:hAnsi="Calibri" w:cs="Calibri"/>
        </w:rPr>
        <w:t xml:space="preserve">applied risk assessments. Microbiological risk assessment following the same steps and principles </w:t>
      </w:r>
      <w:r w:rsidR="002A08B2" w:rsidRPr="00201CE8">
        <w:rPr>
          <w:rFonts w:ascii="Calibri" w:hAnsi="Calibri" w:cs="Calibri"/>
        </w:rPr>
        <w:t>ha</w:t>
      </w:r>
      <w:r w:rsidR="00302E0C" w:rsidRPr="00201CE8">
        <w:rPr>
          <w:rFonts w:ascii="Calibri" w:hAnsi="Calibri" w:cs="Calibri"/>
        </w:rPr>
        <w:t>s be</w:t>
      </w:r>
      <w:r w:rsidR="002A08B2" w:rsidRPr="00201CE8">
        <w:rPr>
          <w:rFonts w:ascii="Calibri" w:hAnsi="Calibri" w:cs="Calibri"/>
        </w:rPr>
        <w:t>en</w:t>
      </w:r>
      <w:r w:rsidR="00302E0C" w:rsidRPr="00201CE8">
        <w:rPr>
          <w:rFonts w:ascii="Calibri" w:hAnsi="Calibri" w:cs="Calibri"/>
        </w:rPr>
        <w:t xml:space="preserve"> undertaken internationally</w:t>
      </w:r>
      <w:r w:rsidR="002C30F7" w:rsidRPr="00201CE8">
        <w:rPr>
          <w:rFonts w:ascii="Calibri" w:hAnsi="Calibri" w:cs="Calibri"/>
        </w:rPr>
        <w:t>,</w:t>
      </w:r>
      <w:r w:rsidR="00302E0C" w:rsidRPr="00201CE8">
        <w:rPr>
          <w:rFonts w:ascii="Calibri" w:hAnsi="Calibri" w:cs="Calibri"/>
        </w:rPr>
        <w:t xml:space="preserve"> on a systematic basis</w:t>
      </w:r>
      <w:r w:rsidR="002C30F7" w:rsidRPr="00201CE8">
        <w:rPr>
          <w:rFonts w:ascii="Calibri" w:hAnsi="Calibri" w:cs="Calibri"/>
        </w:rPr>
        <w:t>,</w:t>
      </w:r>
      <w:r w:rsidR="00302E0C" w:rsidRPr="00201CE8">
        <w:rPr>
          <w:rFonts w:ascii="Calibri" w:hAnsi="Calibri" w:cs="Calibri"/>
        </w:rPr>
        <w:t xml:space="preserve"> </w:t>
      </w:r>
      <w:r w:rsidR="002A08B2" w:rsidRPr="00201CE8">
        <w:rPr>
          <w:rFonts w:ascii="Calibri" w:hAnsi="Calibri" w:cs="Calibri"/>
        </w:rPr>
        <w:t>for</w:t>
      </w:r>
      <w:r w:rsidR="00302E0C" w:rsidRPr="00201CE8">
        <w:rPr>
          <w:rFonts w:ascii="Calibri" w:hAnsi="Calibri" w:cs="Calibri"/>
        </w:rPr>
        <w:t xml:space="preserve"> over ten </w:t>
      </w:r>
      <w:r w:rsidR="004729DB" w:rsidRPr="004729DB">
        <w:rPr>
          <w:rFonts w:ascii="Calibri" w:hAnsi="Calibri" w:cs="Calibri"/>
        </w:rPr>
        <w:t>years</w:t>
      </w:r>
      <w:r w:rsidR="004729DB">
        <w:rPr>
          <w:rFonts w:ascii="Calibri" w:hAnsi="Calibri" w:cs="Calibri"/>
        </w:rPr>
        <w:t xml:space="preserve"> generally</w:t>
      </w:r>
      <w:r w:rsidR="0019259A">
        <w:rPr>
          <w:rFonts w:ascii="Calibri" w:hAnsi="Calibri" w:cs="Calibri"/>
        </w:rPr>
        <w:t xml:space="preserve"> </w:t>
      </w:r>
      <w:r w:rsidRPr="00201CE8">
        <w:rPr>
          <w:rFonts w:ascii="Calibri" w:hAnsi="Calibri" w:cs="Calibri"/>
        </w:rPr>
        <w:t>following the same steps and principles</w:t>
      </w:r>
      <w:r w:rsidR="002C30F7" w:rsidRPr="00201CE8">
        <w:rPr>
          <w:rFonts w:ascii="Calibri" w:hAnsi="Calibri" w:cs="Calibri"/>
        </w:rPr>
        <w:t xml:space="preserve"> as those applied in chemical risk assessment. Risk assessments of </w:t>
      </w:r>
      <w:r w:rsidR="00302E0C" w:rsidRPr="00201CE8">
        <w:rPr>
          <w:rFonts w:ascii="Calibri" w:hAnsi="Calibri" w:cs="Calibri"/>
        </w:rPr>
        <w:t>nutrition or nutrient substances</w:t>
      </w:r>
      <w:r w:rsidRPr="00201CE8">
        <w:rPr>
          <w:rFonts w:ascii="Calibri" w:hAnsi="Calibri" w:cs="Calibri"/>
        </w:rPr>
        <w:t xml:space="preserve"> </w:t>
      </w:r>
      <w:r w:rsidR="002C30F7" w:rsidRPr="00201CE8">
        <w:rPr>
          <w:rFonts w:ascii="Calibri" w:hAnsi="Calibri" w:cs="Calibri"/>
        </w:rPr>
        <w:t>are also increasingly important</w:t>
      </w:r>
      <w:r w:rsidR="00302E0C" w:rsidRPr="00201CE8">
        <w:rPr>
          <w:rFonts w:ascii="Calibri" w:hAnsi="Calibri" w:cs="Calibri"/>
        </w:rPr>
        <w:t>.</w:t>
      </w:r>
    </w:p>
    <w:p w:rsidR="00C97D48" w:rsidRPr="00201CE8" w:rsidRDefault="00C97D48" w:rsidP="00201CE8">
      <w:pPr>
        <w:spacing w:before="100" w:beforeAutospacing="1" w:after="100" w:afterAutospacing="1" w:line="276" w:lineRule="auto"/>
        <w:rPr>
          <w:rFonts w:ascii="Calibri" w:hAnsi="Calibri" w:cs="Calibri"/>
        </w:rPr>
      </w:pPr>
      <w:r w:rsidRPr="00201CE8">
        <w:rPr>
          <w:rFonts w:ascii="Calibri" w:hAnsi="Calibri" w:cs="Calibri"/>
        </w:rPr>
        <w:t xml:space="preserve">Risk assessment principles and methods have been developed and </w:t>
      </w:r>
      <w:r w:rsidR="00854985" w:rsidRPr="00201CE8">
        <w:rPr>
          <w:rFonts w:ascii="Calibri" w:hAnsi="Calibri" w:cs="Calibri"/>
        </w:rPr>
        <w:t xml:space="preserve">are </w:t>
      </w:r>
      <w:r w:rsidRPr="00201CE8">
        <w:rPr>
          <w:rFonts w:ascii="Calibri" w:hAnsi="Calibri" w:cs="Calibri"/>
        </w:rPr>
        <w:t xml:space="preserve">consistently updated to reflect new scientific knowledge. </w:t>
      </w:r>
      <w:r w:rsidR="00094D90" w:rsidRPr="00201CE8">
        <w:rPr>
          <w:rFonts w:ascii="Calibri" w:hAnsi="Calibri" w:cs="Calibri"/>
        </w:rPr>
        <w:t>A series of publications describ</w:t>
      </w:r>
      <w:r w:rsidR="00854985" w:rsidRPr="00201CE8">
        <w:rPr>
          <w:rFonts w:ascii="Calibri" w:hAnsi="Calibri" w:cs="Calibri"/>
        </w:rPr>
        <w:t>ing</w:t>
      </w:r>
      <w:r w:rsidR="00094D90" w:rsidRPr="00201CE8">
        <w:rPr>
          <w:rFonts w:ascii="Calibri" w:hAnsi="Calibri" w:cs="Calibri"/>
        </w:rPr>
        <w:t xml:space="preserve"> microbiological risk assessment, and chemical risk assessment</w:t>
      </w:r>
      <w:r w:rsidR="008A45B6" w:rsidRPr="00201CE8">
        <w:rPr>
          <w:rFonts w:ascii="Calibri" w:hAnsi="Calibri" w:cs="Calibri"/>
        </w:rPr>
        <w:t xml:space="preserve"> principles</w:t>
      </w:r>
      <w:r w:rsidR="00094D90" w:rsidRPr="00201CE8">
        <w:rPr>
          <w:rFonts w:ascii="Calibri" w:hAnsi="Calibri" w:cs="Calibri"/>
        </w:rPr>
        <w:t xml:space="preserve"> </w:t>
      </w:r>
      <w:r w:rsidR="002A08B2" w:rsidRPr="00201CE8">
        <w:rPr>
          <w:rFonts w:ascii="Calibri" w:hAnsi="Calibri" w:cs="Calibri"/>
        </w:rPr>
        <w:t>w</w:t>
      </w:r>
      <w:r w:rsidR="00854985" w:rsidRPr="00201CE8">
        <w:rPr>
          <w:rFonts w:ascii="Calibri" w:hAnsi="Calibri" w:cs="Calibri"/>
        </w:rPr>
        <w:t>as</w:t>
      </w:r>
      <w:r w:rsidR="008A45B6" w:rsidRPr="00201CE8">
        <w:rPr>
          <w:rFonts w:ascii="Calibri" w:hAnsi="Calibri" w:cs="Calibri"/>
        </w:rPr>
        <w:t xml:space="preserve"> first published in the late 1980s and early 1990s. These principles have</w:t>
      </w:r>
      <w:r w:rsidR="00094D90" w:rsidRPr="00201CE8">
        <w:rPr>
          <w:rFonts w:ascii="Calibri" w:hAnsi="Calibri" w:cs="Calibri"/>
        </w:rPr>
        <w:t xml:space="preserve"> recently been updated and published in a comprehensive monograph Environmental Health Criteria 240: Principles for the risk assessment of chemicals in food.  </w:t>
      </w:r>
      <w:r w:rsidR="00766E6D" w:rsidRPr="00201CE8">
        <w:rPr>
          <w:rFonts w:ascii="Calibri" w:hAnsi="Calibri" w:cs="Calibri"/>
        </w:rPr>
        <w:t>Nutrient risk assessment has been described in</w:t>
      </w:r>
      <w:r w:rsidR="00B653B9" w:rsidRPr="00201CE8">
        <w:rPr>
          <w:rFonts w:ascii="Calibri" w:hAnsi="Calibri" w:cs="Calibri"/>
        </w:rPr>
        <w:t xml:space="preserve"> the report of a Joint FAO/WHO Technical Workshop on</w:t>
      </w:r>
      <w:r w:rsidR="008A45B6" w:rsidRPr="00201CE8">
        <w:rPr>
          <w:rFonts w:ascii="Calibri" w:hAnsi="Calibri" w:cs="Calibri"/>
        </w:rPr>
        <w:t xml:space="preserve"> </w:t>
      </w:r>
      <w:r w:rsidR="00B653B9" w:rsidRPr="00201CE8">
        <w:rPr>
          <w:rFonts w:ascii="Calibri" w:hAnsi="Calibri" w:cs="Calibri"/>
        </w:rPr>
        <w:t>Nutrient Risk Assessment: A Model for Establishing Upper Levels of Intake for Nutrients and Related Substances.</w:t>
      </w:r>
    </w:p>
    <w:p w:rsidR="00302E0C" w:rsidRPr="00201CE8" w:rsidRDefault="00854985" w:rsidP="00201CE8">
      <w:pPr>
        <w:spacing w:before="100" w:beforeAutospacing="1" w:after="100" w:afterAutospacing="1" w:line="276" w:lineRule="auto"/>
        <w:rPr>
          <w:rFonts w:ascii="Calibri" w:hAnsi="Calibri" w:cs="Calibri"/>
        </w:rPr>
      </w:pPr>
      <w:r w:rsidRPr="00201CE8">
        <w:rPr>
          <w:rFonts w:ascii="Calibri" w:hAnsi="Calibri" w:cs="Calibri"/>
        </w:rPr>
        <w:t>R</w:t>
      </w:r>
      <w:r w:rsidR="00D103D7" w:rsidRPr="00201CE8">
        <w:rPr>
          <w:rFonts w:ascii="Calibri" w:hAnsi="Calibri" w:cs="Calibri"/>
        </w:rPr>
        <w:t>isk benefit considerations</w:t>
      </w:r>
      <w:r w:rsidRPr="00201CE8">
        <w:rPr>
          <w:rFonts w:ascii="Calibri" w:hAnsi="Calibri" w:cs="Calibri"/>
        </w:rPr>
        <w:t xml:space="preserve"> are of increasing importance in food-related assessments</w:t>
      </w:r>
      <w:r w:rsidR="00D103D7" w:rsidRPr="00201CE8">
        <w:rPr>
          <w:rFonts w:ascii="Calibri" w:hAnsi="Calibri" w:cs="Calibri"/>
        </w:rPr>
        <w:t>, and while no systematic framework has been developed yet, examples are available looking at</w:t>
      </w:r>
      <w:r w:rsidR="00A74FC4" w:rsidRPr="00201CE8">
        <w:rPr>
          <w:rFonts w:ascii="Calibri" w:hAnsi="Calibri" w:cs="Calibri"/>
        </w:rPr>
        <w:t xml:space="preserve"> qualitative and semi-quantitative</w:t>
      </w:r>
      <w:r w:rsidR="00D103D7" w:rsidRPr="00201CE8">
        <w:rPr>
          <w:rFonts w:ascii="Calibri" w:hAnsi="Calibri" w:cs="Calibri"/>
        </w:rPr>
        <w:t xml:space="preserve"> risk benefit considerations (</w:t>
      </w:r>
      <w:r w:rsidR="007E19A1" w:rsidRPr="00201CE8">
        <w:rPr>
          <w:rFonts w:ascii="Calibri" w:hAnsi="Calibri" w:cs="Calibri"/>
        </w:rPr>
        <w:t xml:space="preserve">e.g. </w:t>
      </w:r>
      <w:r w:rsidRPr="00201CE8">
        <w:rPr>
          <w:rFonts w:ascii="Calibri" w:hAnsi="Calibri" w:cs="Calibri"/>
        </w:rPr>
        <w:t>b</w:t>
      </w:r>
      <w:r w:rsidR="007E19A1" w:rsidRPr="00201CE8">
        <w:rPr>
          <w:rFonts w:ascii="Calibri" w:hAnsi="Calibri" w:cs="Calibri"/>
        </w:rPr>
        <w:t>enefits and risks of the use of chlorine-containing disinfectants in food production and food processing, 2009</w:t>
      </w:r>
      <w:r w:rsidR="00D103D7" w:rsidRPr="00201CE8">
        <w:rPr>
          <w:rFonts w:ascii="Calibri" w:hAnsi="Calibri" w:cs="Calibri"/>
        </w:rPr>
        <w:t xml:space="preserve">) or quantitative assessments (e.g. </w:t>
      </w:r>
      <w:r w:rsidR="00454996" w:rsidRPr="00201CE8">
        <w:rPr>
          <w:rFonts w:ascii="Calibri" w:hAnsi="Calibri" w:cs="Calibri"/>
        </w:rPr>
        <w:t>risk benefit assessment of fish consumption, 2010).</w:t>
      </w:r>
    </w:p>
    <w:p w:rsidR="00C96773" w:rsidRPr="00201CE8" w:rsidRDefault="00C96773" w:rsidP="00201CE8">
      <w:pPr>
        <w:spacing w:before="100" w:beforeAutospacing="1" w:after="100" w:afterAutospacing="1" w:line="276" w:lineRule="auto"/>
        <w:rPr>
          <w:rFonts w:ascii="Calibri" w:hAnsi="Calibri" w:cs="Calibri"/>
        </w:rPr>
      </w:pPr>
      <w:r w:rsidRPr="00201CE8">
        <w:rPr>
          <w:rFonts w:ascii="Calibri" w:hAnsi="Calibri" w:cs="Calibri"/>
        </w:rPr>
        <w:t xml:space="preserve">Through a consultative process, FAO and WHO have developed a framework for </w:t>
      </w:r>
      <w:r w:rsidR="00854985" w:rsidRPr="00201CE8">
        <w:rPr>
          <w:rFonts w:ascii="Calibri" w:hAnsi="Calibri" w:cs="Calibri"/>
        </w:rPr>
        <w:t xml:space="preserve">providing </w:t>
      </w:r>
      <w:r w:rsidRPr="00201CE8">
        <w:rPr>
          <w:rFonts w:ascii="Calibri" w:hAnsi="Calibri" w:cs="Calibri"/>
        </w:rPr>
        <w:t>scientific advice on food safety and nutrition (FAO and WHO 2007). This framework lays out the legal framework in which the organi</w:t>
      </w:r>
      <w:r w:rsidR="002A08B2" w:rsidRPr="00201CE8">
        <w:rPr>
          <w:rFonts w:ascii="Calibri" w:hAnsi="Calibri" w:cs="Calibri"/>
        </w:rPr>
        <w:t>s</w:t>
      </w:r>
      <w:r w:rsidRPr="00201CE8">
        <w:rPr>
          <w:rFonts w:ascii="Calibri" w:hAnsi="Calibri" w:cs="Calibri"/>
        </w:rPr>
        <w:t>ations operate</w:t>
      </w:r>
      <w:r w:rsidR="00854985" w:rsidRPr="00201CE8">
        <w:rPr>
          <w:rFonts w:ascii="Calibri" w:hAnsi="Calibri" w:cs="Calibri"/>
        </w:rPr>
        <w:t>;</w:t>
      </w:r>
      <w:r w:rsidRPr="00201CE8">
        <w:rPr>
          <w:rFonts w:ascii="Calibri" w:hAnsi="Calibri" w:cs="Calibri"/>
        </w:rPr>
        <w:t xml:space="preserve"> the</w:t>
      </w:r>
      <w:r w:rsidR="00854985" w:rsidRPr="00201CE8">
        <w:rPr>
          <w:rFonts w:ascii="Calibri" w:hAnsi="Calibri" w:cs="Calibri"/>
        </w:rPr>
        <w:t>ir</w:t>
      </w:r>
      <w:r w:rsidRPr="00201CE8">
        <w:rPr>
          <w:rFonts w:ascii="Calibri" w:hAnsi="Calibri" w:cs="Calibri"/>
        </w:rPr>
        <w:t xml:space="preserve"> management and organi</w:t>
      </w:r>
      <w:r w:rsidR="002A08B2" w:rsidRPr="00201CE8">
        <w:rPr>
          <w:rFonts w:ascii="Calibri" w:hAnsi="Calibri" w:cs="Calibri"/>
        </w:rPr>
        <w:t>s</w:t>
      </w:r>
      <w:r w:rsidRPr="00201CE8">
        <w:rPr>
          <w:rFonts w:ascii="Calibri" w:hAnsi="Calibri" w:cs="Calibri"/>
        </w:rPr>
        <w:t>ation</w:t>
      </w:r>
      <w:r w:rsidR="00854985" w:rsidRPr="00201CE8">
        <w:rPr>
          <w:rFonts w:ascii="Calibri" w:hAnsi="Calibri" w:cs="Calibri"/>
        </w:rPr>
        <w:t xml:space="preserve">, </w:t>
      </w:r>
      <w:r w:rsidRPr="00201CE8">
        <w:rPr>
          <w:rFonts w:ascii="Calibri" w:hAnsi="Calibri" w:cs="Calibri"/>
        </w:rPr>
        <w:t>as well as procedures for international expert advisory groups. It also lays down core principles for scientific advice, which a</w:t>
      </w:r>
      <w:r w:rsidR="004968B9" w:rsidRPr="00201CE8">
        <w:rPr>
          <w:rFonts w:ascii="Calibri" w:hAnsi="Calibri" w:cs="Calibri"/>
        </w:rPr>
        <w:t>dapted to the national setting</w:t>
      </w:r>
      <w:r w:rsidR="0092570F" w:rsidRPr="00201CE8">
        <w:rPr>
          <w:rFonts w:ascii="Calibri" w:hAnsi="Calibri" w:cs="Calibri"/>
        </w:rPr>
        <w:t>,</w:t>
      </w:r>
      <w:r w:rsidR="004968B9" w:rsidRPr="00201CE8">
        <w:rPr>
          <w:rFonts w:ascii="Calibri" w:hAnsi="Calibri" w:cs="Calibri"/>
        </w:rPr>
        <w:t xml:space="preserve"> we</w:t>
      </w:r>
      <w:r w:rsidRPr="00201CE8">
        <w:rPr>
          <w:rFonts w:ascii="Calibri" w:hAnsi="Calibri" w:cs="Calibri"/>
        </w:rPr>
        <w:t xml:space="preserve">re considered when </w:t>
      </w:r>
      <w:r w:rsidR="004968B9" w:rsidRPr="00201CE8">
        <w:rPr>
          <w:rFonts w:ascii="Calibri" w:hAnsi="Calibri" w:cs="Calibri"/>
        </w:rPr>
        <w:t xml:space="preserve">undertaking this review of </w:t>
      </w:r>
      <w:r w:rsidRPr="00201CE8">
        <w:rPr>
          <w:rFonts w:ascii="Calibri" w:hAnsi="Calibri" w:cs="Calibri"/>
        </w:rPr>
        <w:t xml:space="preserve">FSANZ risk assessment </w:t>
      </w:r>
      <w:r w:rsidR="004968B9" w:rsidRPr="00201CE8">
        <w:rPr>
          <w:rFonts w:ascii="Calibri" w:hAnsi="Calibri" w:cs="Calibri"/>
        </w:rPr>
        <w:t>practices and procedures</w:t>
      </w:r>
      <w:r w:rsidRPr="00201CE8">
        <w:rPr>
          <w:rFonts w:ascii="Calibri" w:hAnsi="Calibri" w:cs="Calibri"/>
        </w:rPr>
        <w:t xml:space="preserve">. These core principles are soundness, responsibility, objectivity, fairness, transparency and inclusiveness. </w:t>
      </w:r>
    </w:p>
    <w:p w:rsidR="00F300BC" w:rsidRPr="00201CE8" w:rsidRDefault="007C13CF" w:rsidP="00201CE8">
      <w:pPr>
        <w:spacing w:before="100" w:beforeAutospacing="1" w:after="100" w:afterAutospacing="1" w:line="276" w:lineRule="auto"/>
        <w:rPr>
          <w:rFonts w:ascii="Calibri" w:hAnsi="Calibri" w:cs="Calibri"/>
        </w:rPr>
      </w:pPr>
      <w:bookmarkStart w:id="22" w:name="_Toc322935497"/>
      <w:r w:rsidRPr="00201CE8">
        <w:rPr>
          <w:rFonts w:ascii="Calibri" w:hAnsi="Calibri" w:cs="Calibri"/>
        </w:rPr>
        <w:t xml:space="preserve">Annex 3 provides a list of FAO/WHO publications </w:t>
      </w:r>
      <w:r w:rsidR="002A08B2" w:rsidRPr="00201CE8">
        <w:rPr>
          <w:rFonts w:ascii="Calibri" w:hAnsi="Calibri" w:cs="Calibri"/>
        </w:rPr>
        <w:t>referenced</w:t>
      </w:r>
      <w:r w:rsidRPr="00201CE8">
        <w:rPr>
          <w:rFonts w:ascii="Calibri" w:hAnsi="Calibri" w:cs="Calibri"/>
        </w:rPr>
        <w:t xml:space="preserve"> in this section.</w:t>
      </w:r>
    </w:p>
    <w:p w:rsidR="001431C7" w:rsidRPr="00A4253E" w:rsidRDefault="0006074B" w:rsidP="00E51047">
      <w:pPr>
        <w:pStyle w:val="Heading1"/>
      </w:pPr>
      <w:bookmarkStart w:id="23" w:name="_Toc332960006"/>
      <w:r>
        <w:t>6. FSANZ</w:t>
      </w:r>
      <w:r w:rsidR="001431C7" w:rsidRPr="00A4253E">
        <w:t xml:space="preserve"> </w:t>
      </w:r>
      <w:r w:rsidR="00854985">
        <w:t>f</w:t>
      </w:r>
      <w:r w:rsidR="001431C7" w:rsidRPr="00A4253E">
        <w:t xml:space="preserve">ood </w:t>
      </w:r>
      <w:r w:rsidR="00854985">
        <w:t>r</w:t>
      </w:r>
      <w:r w:rsidR="001431C7" w:rsidRPr="00A4253E">
        <w:t xml:space="preserve">isk </w:t>
      </w:r>
      <w:r w:rsidR="00854985">
        <w:t>a</w:t>
      </w:r>
      <w:r w:rsidR="001431C7" w:rsidRPr="00A4253E">
        <w:t>ssessment</w:t>
      </w:r>
      <w:bookmarkEnd w:id="22"/>
      <w:bookmarkEnd w:id="23"/>
    </w:p>
    <w:p w:rsidR="00924897" w:rsidRDefault="00924897" w:rsidP="00201CE8">
      <w:pPr>
        <w:spacing w:before="100" w:beforeAutospacing="1" w:after="100" w:afterAutospacing="1" w:line="276" w:lineRule="auto"/>
        <w:rPr>
          <w:rFonts w:ascii="Calibri" w:hAnsi="Calibri" w:cs="Calibri"/>
        </w:rPr>
      </w:pPr>
      <w:bookmarkStart w:id="24" w:name="_Toc322935498"/>
      <w:r w:rsidRPr="00461964">
        <w:rPr>
          <w:rFonts w:ascii="Calibri" w:hAnsi="Calibri" w:cs="Calibri"/>
        </w:rPr>
        <w:t>FSANZ has adopted th</w:t>
      </w:r>
      <w:r>
        <w:rPr>
          <w:rFonts w:ascii="Calibri" w:hAnsi="Calibri" w:cs="Calibri"/>
        </w:rPr>
        <w:t xml:space="preserve">e risk analysis paradigm and </w:t>
      </w:r>
      <w:proofErr w:type="gramStart"/>
      <w:r>
        <w:rPr>
          <w:rFonts w:ascii="Calibri" w:hAnsi="Calibri" w:cs="Calibri"/>
        </w:rPr>
        <w:t xml:space="preserve">associated </w:t>
      </w:r>
      <w:r w:rsidRPr="00461964">
        <w:rPr>
          <w:rFonts w:ascii="Calibri" w:hAnsi="Calibri" w:cs="Calibri"/>
        </w:rPr>
        <w:t>principle</w:t>
      </w:r>
      <w:r w:rsidR="002A08B2">
        <w:rPr>
          <w:rFonts w:ascii="Calibri" w:hAnsi="Calibri" w:cs="Calibri"/>
        </w:rPr>
        <w:t>s</w:t>
      </w:r>
      <w:r w:rsidR="001F2EAE">
        <w:rPr>
          <w:rFonts w:ascii="Calibri" w:hAnsi="Calibri" w:cs="Calibri"/>
        </w:rPr>
        <w:t xml:space="preserve"> </w:t>
      </w:r>
      <w:r>
        <w:rPr>
          <w:rFonts w:ascii="Calibri" w:hAnsi="Calibri" w:cs="Calibri"/>
        </w:rPr>
        <w:t>described above</w:t>
      </w:r>
      <w:r w:rsidR="006E13DF">
        <w:rPr>
          <w:rFonts w:ascii="Calibri" w:hAnsi="Calibri" w:cs="Calibri"/>
        </w:rPr>
        <w:t xml:space="preserve"> </w:t>
      </w:r>
      <w:r w:rsidRPr="00461964">
        <w:rPr>
          <w:rFonts w:ascii="Calibri" w:hAnsi="Calibri" w:cs="Calibri"/>
        </w:rPr>
        <w:t>and works</w:t>
      </w:r>
      <w:proofErr w:type="gramEnd"/>
      <w:r w:rsidRPr="00461964">
        <w:rPr>
          <w:rFonts w:ascii="Calibri" w:hAnsi="Calibri" w:cs="Calibri"/>
        </w:rPr>
        <w:t xml:space="preserve"> within this framework</w:t>
      </w:r>
      <w:r>
        <w:rPr>
          <w:rFonts w:ascii="Calibri" w:hAnsi="Calibri" w:cs="Calibri"/>
        </w:rPr>
        <w:t xml:space="preserve">, as articulated in the </w:t>
      </w:r>
      <w:r w:rsidR="008E5D38">
        <w:rPr>
          <w:rFonts w:ascii="Calibri" w:hAnsi="Calibri" w:cs="Calibri"/>
        </w:rPr>
        <w:t xml:space="preserve">FSANZ document </w:t>
      </w:r>
      <w:r w:rsidR="0092570F">
        <w:rPr>
          <w:rFonts w:ascii="Calibri" w:hAnsi="Calibri" w:cs="Calibri"/>
        </w:rPr>
        <w:t>t</w:t>
      </w:r>
      <w:r w:rsidRPr="00BF3819">
        <w:rPr>
          <w:rFonts w:ascii="Calibri" w:hAnsi="Calibri" w:cs="Calibri"/>
        </w:rPr>
        <w:t xml:space="preserve">he </w:t>
      </w:r>
      <w:r w:rsidRPr="00201CE8">
        <w:rPr>
          <w:rFonts w:ascii="Calibri" w:hAnsi="Calibri" w:cs="Calibri"/>
        </w:rPr>
        <w:t>Analysis of Food Related Health Risks</w:t>
      </w:r>
      <w:r w:rsidRPr="00BF3819">
        <w:rPr>
          <w:rFonts w:ascii="Calibri" w:hAnsi="Calibri" w:cs="Calibri"/>
        </w:rPr>
        <w:t>.</w:t>
      </w:r>
      <w:r>
        <w:rPr>
          <w:rFonts w:ascii="Calibri" w:hAnsi="Calibri" w:cs="Calibri"/>
        </w:rPr>
        <w:t xml:space="preserve"> </w:t>
      </w:r>
    </w:p>
    <w:p w:rsidR="00F21996" w:rsidRPr="00461964" w:rsidRDefault="006E13DF" w:rsidP="00201CE8">
      <w:pPr>
        <w:spacing w:before="100" w:beforeAutospacing="1" w:after="100" w:afterAutospacing="1" w:line="276" w:lineRule="auto"/>
        <w:rPr>
          <w:rFonts w:ascii="Calibri" w:hAnsi="Calibri" w:cs="Calibri"/>
        </w:rPr>
      </w:pPr>
      <w:r>
        <w:rPr>
          <w:rFonts w:ascii="Calibri" w:hAnsi="Calibri" w:cs="Calibri"/>
        </w:rPr>
        <w:t>F</w:t>
      </w:r>
      <w:r w:rsidR="00F21996" w:rsidRPr="00461964">
        <w:rPr>
          <w:rFonts w:ascii="Calibri" w:hAnsi="Calibri" w:cs="Calibri"/>
        </w:rPr>
        <w:t>SANZ is a bi-national statutory authority</w:t>
      </w:r>
      <w:r>
        <w:rPr>
          <w:rFonts w:ascii="Calibri" w:hAnsi="Calibri" w:cs="Calibri"/>
        </w:rPr>
        <w:t xml:space="preserve"> and was </w:t>
      </w:r>
      <w:r w:rsidR="00F21996" w:rsidRPr="00461964">
        <w:rPr>
          <w:rFonts w:ascii="Calibri" w:hAnsi="Calibri" w:cs="Calibri"/>
        </w:rPr>
        <w:t>established to:</w:t>
      </w:r>
      <w:bookmarkEnd w:id="24"/>
    </w:p>
    <w:p w:rsidR="00F21996" w:rsidRPr="00461964" w:rsidRDefault="006E13DF" w:rsidP="00201CE8">
      <w:pPr>
        <w:numPr>
          <w:ilvl w:val="0"/>
          <w:numId w:val="41"/>
        </w:numPr>
        <w:tabs>
          <w:tab w:val="left" w:pos="709"/>
        </w:tabs>
        <w:spacing w:line="240" w:lineRule="auto"/>
        <w:rPr>
          <w:rFonts w:ascii="Calibri" w:hAnsi="Calibri" w:cs="Calibri"/>
        </w:rPr>
      </w:pPr>
      <w:bookmarkStart w:id="25" w:name="_Toc322935499"/>
      <w:r>
        <w:rPr>
          <w:rFonts w:ascii="Calibri" w:hAnsi="Calibri" w:cs="Calibri"/>
        </w:rPr>
        <w:lastRenderedPageBreak/>
        <w:t xml:space="preserve">provide a high degree of consumer </w:t>
      </w:r>
      <w:r w:rsidR="00F21996" w:rsidRPr="00461964">
        <w:rPr>
          <w:rFonts w:ascii="Calibri" w:hAnsi="Calibri" w:cs="Calibri"/>
        </w:rPr>
        <w:t xml:space="preserve">confidence in the quality and safety of food </w:t>
      </w:r>
      <w:r w:rsidR="005166BB">
        <w:rPr>
          <w:rFonts w:ascii="Calibri" w:hAnsi="Calibri" w:cs="Calibri"/>
        </w:rPr>
        <w:t>produced, processed, sold or exported from Australia and New Zealand</w:t>
      </w:r>
      <w:bookmarkEnd w:id="25"/>
    </w:p>
    <w:p w:rsidR="00F21996" w:rsidRPr="00461964" w:rsidRDefault="006E13DF" w:rsidP="00201CE8">
      <w:pPr>
        <w:numPr>
          <w:ilvl w:val="0"/>
          <w:numId w:val="41"/>
        </w:numPr>
        <w:tabs>
          <w:tab w:val="left" w:pos="709"/>
        </w:tabs>
        <w:spacing w:line="240" w:lineRule="auto"/>
        <w:rPr>
          <w:rFonts w:ascii="Calibri" w:hAnsi="Calibri" w:cs="Calibri"/>
        </w:rPr>
      </w:pPr>
      <w:bookmarkStart w:id="26" w:name="_Toc322935500"/>
      <w:r>
        <w:rPr>
          <w:rFonts w:ascii="Calibri" w:hAnsi="Calibri" w:cs="Calibri"/>
        </w:rPr>
        <w:t>p</w:t>
      </w:r>
      <w:r w:rsidR="00F21996" w:rsidRPr="00461964">
        <w:rPr>
          <w:rFonts w:ascii="Calibri" w:hAnsi="Calibri" w:cs="Calibri"/>
        </w:rPr>
        <w:t>rovide a</w:t>
      </w:r>
      <w:r w:rsidR="005166BB">
        <w:rPr>
          <w:rFonts w:ascii="Calibri" w:hAnsi="Calibri" w:cs="Calibri"/>
        </w:rPr>
        <w:t xml:space="preserve">n effective, transparent and accountable food </w:t>
      </w:r>
      <w:r w:rsidR="00F21996" w:rsidRPr="00461964">
        <w:rPr>
          <w:rFonts w:ascii="Calibri" w:hAnsi="Calibri" w:cs="Calibri"/>
        </w:rPr>
        <w:t xml:space="preserve">regulatory framework </w:t>
      </w:r>
      <w:bookmarkEnd w:id="26"/>
    </w:p>
    <w:p w:rsidR="00F21996" w:rsidRPr="00461964" w:rsidRDefault="005E1829" w:rsidP="00201CE8">
      <w:pPr>
        <w:numPr>
          <w:ilvl w:val="0"/>
          <w:numId w:val="41"/>
        </w:numPr>
        <w:tabs>
          <w:tab w:val="left" w:pos="709"/>
        </w:tabs>
        <w:spacing w:line="240" w:lineRule="auto"/>
        <w:rPr>
          <w:rFonts w:ascii="Calibri" w:hAnsi="Calibri" w:cs="Calibri"/>
        </w:rPr>
      </w:pPr>
      <w:bookmarkStart w:id="27" w:name="_Toc322935501"/>
      <w:r>
        <w:rPr>
          <w:rFonts w:ascii="Calibri" w:hAnsi="Calibri" w:cs="Calibri"/>
        </w:rPr>
        <w:t xml:space="preserve">provide </w:t>
      </w:r>
      <w:r w:rsidR="005166BB">
        <w:rPr>
          <w:rFonts w:ascii="Calibri" w:hAnsi="Calibri" w:cs="Calibri"/>
        </w:rPr>
        <w:t xml:space="preserve">information for </w:t>
      </w:r>
      <w:r w:rsidR="00F21996" w:rsidRPr="00461964">
        <w:rPr>
          <w:rFonts w:ascii="Calibri" w:hAnsi="Calibri" w:cs="Calibri"/>
        </w:rPr>
        <w:t>consumer</w:t>
      </w:r>
      <w:r w:rsidR="002A08B2">
        <w:rPr>
          <w:rFonts w:ascii="Calibri" w:hAnsi="Calibri" w:cs="Calibri"/>
        </w:rPr>
        <w:t>s</w:t>
      </w:r>
      <w:r w:rsidR="00F21996" w:rsidRPr="00461964">
        <w:rPr>
          <w:rFonts w:ascii="Calibri" w:hAnsi="Calibri" w:cs="Calibri"/>
        </w:rPr>
        <w:t xml:space="preserve"> </w:t>
      </w:r>
      <w:r w:rsidR="005166BB">
        <w:rPr>
          <w:rFonts w:ascii="Calibri" w:hAnsi="Calibri" w:cs="Calibri"/>
        </w:rPr>
        <w:t>that is</w:t>
      </w:r>
      <w:r>
        <w:rPr>
          <w:rFonts w:ascii="Calibri" w:hAnsi="Calibri" w:cs="Calibri"/>
        </w:rPr>
        <w:t xml:space="preserve"> adequate </w:t>
      </w:r>
      <w:r w:rsidR="005166BB">
        <w:rPr>
          <w:rFonts w:ascii="Calibri" w:hAnsi="Calibri" w:cs="Calibri"/>
        </w:rPr>
        <w:t xml:space="preserve">to enable them to </w:t>
      </w:r>
      <w:r w:rsidR="00F21996" w:rsidRPr="00461964">
        <w:rPr>
          <w:rFonts w:ascii="Calibri" w:hAnsi="Calibri" w:cs="Calibri"/>
        </w:rPr>
        <w:t xml:space="preserve">make informed </w:t>
      </w:r>
      <w:r w:rsidR="005166BB">
        <w:rPr>
          <w:rFonts w:ascii="Calibri" w:hAnsi="Calibri" w:cs="Calibri"/>
        </w:rPr>
        <w:t xml:space="preserve">food </w:t>
      </w:r>
      <w:r w:rsidR="00F21996" w:rsidRPr="00461964">
        <w:rPr>
          <w:rFonts w:ascii="Calibri" w:hAnsi="Calibri" w:cs="Calibri"/>
        </w:rPr>
        <w:t>choices</w:t>
      </w:r>
      <w:bookmarkEnd w:id="27"/>
    </w:p>
    <w:p w:rsidR="00F21996" w:rsidRPr="00461964" w:rsidRDefault="006E13DF" w:rsidP="00201CE8">
      <w:pPr>
        <w:numPr>
          <w:ilvl w:val="0"/>
          <w:numId w:val="41"/>
        </w:numPr>
        <w:tabs>
          <w:tab w:val="left" w:pos="709"/>
        </w:tabs>
        <w:spacing w:line="240" w:lineRule="auto"/>
        <w:rPr>
          <w:rFonts w:ascii="Calibri" w:hAnsi="Calibri" w:cs="Calibri"/>
        </w:rPr>
      </w:pPr>
      <w:bookmarkStart w:id="28" w:name="_Toc322935502"/>
      <w:proofErr w:type="gramStart"/>
      <w:r>
        <w:rPr>
          <w:rFonts w:ascii="Calibri" w:hAnsi="Calibri" w:cs="Calibri"/>
        </w:rPr>
        <w:t>p</w:t>
      </w:r>
      <w:r w:rsidR="00F21996" w:rsidRPr="00461964">
        <w:rPr>
          <w:rFonts w:ascii="Calibri" w:hAnsi="Calibri" w:cs="Calibri"/>
        </w:rPr>
        <w:t>rovide</w:t>
      </w:r>
      <w:proofErr w:type="gramEnd"/>
      <w:r w:rsidR="005166BB">
        <w:rPr>
          <w:rFonts w:ascii="Calibri" w:hAnsi="Calibri" w:cs="Calibri"/>
        </w:rPr>
        <w:t xml:space="preserve"> common rules for Australia and New Zealand and </w:t>
      </w:r>
      <w:r w:rsidR="00F21996" w:rsidRPr="00461964">
        <w:rPr>
          <w:rFonts w:ascii="Calibri" w:hAnsi="Calibri" w:cs="Calibri"/>
        </w:rPr>
        <w:t xml:space="preserve">consistency </w:t>
      </w:r>
      <w:r w:rsidR="005166BB">
        <w:rPr>
          <w:rFonts w:ascii="Calibri" w:hAnsi="Calibri" w:cs="Calibri"/>
        </w:rPr>
        <w:t>with i</w:t>
      </w:r>
      <w:r w:rsidR="00F21996" w:rsidRPr="00461964">
        <w:rPr>
          <w:rFonts w:ascii="Calibri" w:hAnsi="Calibri" w:cs="Calibri"/>
        </w:rPr>
        <w:t>nternational food regulat</w:t>
      </w:r>
      <w:r w:rsidR="005166BB">
        <w:rPr>
          <w:rFonts w:ascii="Calibri" w:hAnsi="Calibri" w:cs="Calibri"/>
        </w:rPr>
        <w:t>ory standards, without compromising public health and consumer protection</w:t>
      </w:r>
      <w:bookmarkEnd w:id="28"/>
      <w:r w:rsidR="005166BB">
        <w:rPr>
          <w:rFonts w:ascii="Calibri" w:hAnsi="Calibri" w:cs="Calibri"/>
        </w:rPr>
        <w:t>.</w:t>
      </w:r>
    </w:p>
    <w:p w:rsidR="00F21996" w:rsidRPr="00461964" w:rsidRDefault="00F21996" w:rsidP="00201CE8">
      <w:pPr>
        <w:spacing w:before="100" w:beforeAutospacing="1" w:after="100" w:afterAutospacing="1" w:line="276" w:lineRule="auto"/>
        <w:rPr>
          <w:rFonts w:ascii="Calibri" w:hAnsi="Calibri" w:cs="Calibri"/>
        </w:rPr>
      </w:pPr>
      <w:bookmarkStart w:id="29" w:name="_Toc322935503"/>
      <w:r w:rsidRPr="00461964">
        <w:rPr>
          <w:rFonts w:ascii="Calibri" w:hAnsi="Calibri" w:cs="Calibri"/>
        </w:rPr>
        <w:t>To achieve this</w:t>
      </w:r>
      <w:r w:rsidR="00951BA4" w:rsidRPr="00461964">
        <w:rPr>
          <w:rFonts w:ascii="Calibri" w:hAnsi="Calibri" w:cs="Calibri"/>
        </w:rPr>
        <w:t>,</w:t>
      </w:r>
      <w:r w:rsidRPr="00461964">
        <w:rPr>
          <w:rFonts w:ascii="Calibri" w:hAnsi="Calibri" w:cs="Calibri"/>
        </w:rPr>
        <w:t xml:space="preserve"> FSANZ deve</w:t>
      </w:r>
      <w:r w:rsidR="00E42D21">
        <w:rPr>
          <w:rFonts w:ascii="Calibri" w:hAnsi="Calibri" w:cs="Calibri"/>
        </w:rPr>
        <w:t xml:space="preserve">lops or reviews food standards, </w:t>
      </w:r>
      <w:r w:rsidR="009233DD">
        <w:rPr>
          <w:rFonts w:ascii="Calibri" w:hAnsi="Calibri" w:cs="Calibri"/>
        </w:rPr>
        <w:t>collectively called the</w:t>
      </w:r>
      <w:r w:rsidR="00E5670F">
        <w:rPr>
          <w:rFonts w:ascii="Calibri" w:hAnsi="Calibri" w:cs="Calibri"/>
        </w:rPr>
        <w:t xml:space="preserve"> </w:t>
      </w:r>
      <w:r w:rsidR="00E5670F" w:rsidRPr="00201CE8">
        <w:rPr>
          <w:rFonts w:ascii="Calibri" w:hAnsi="Calibri" w:cs="Calibri"/>
          <w:i/>
        </w:rPr>
        <w:t>Australia New Zealand Food Standards Code</w:t>
      </w:r>
      <w:r w:rsidR="00E5670F">
        <w:rPr>
          <w:rFonts w:ascii="Calibri" w:hAnsi="Calibri" w:cs="Calibri"/>
        </w:rPr>
        <w:t xml:space="preserve"> (the</w:t>
      </w:r>
      <w:r w:rsidR="009233DD">
        <w:rPr>
          <w:rFonts w:ascii="Calibri" w:hAnsi="Calibri" w:cs="Calibri"/>
        </w:rPr>
        <w:t xml:space="preserve"> Code</w:t>
      </w:r>
      <w:r w:rsidR="00E5670F">
        <w:rPr>
          <w:rFonts w:ascii="Calibri" w:hAnsi="Calibri" w:cs="Calibri"/>
        </w:rPr>
        <w:t>)</w:t>
      </w:r>
      <w:r w:rsidRPr="00461964">
        <w:rPr>
          <w:rFonts w:ascii="Calibri" w:hAnsi="Calibri" w:cs="Calibri"/>
        </w:rPr>
        <w:t xml:space="preserve">. When developing food standards, FSANZ is required by its legislation to meet three </w:t>
      </w:r>
      <w:r w:rsidR="00DF7E6F" w:rsidRPr="00461964">
        <w:rPr>
          <w:rFonts w:ascii="Calibri" w:hAnsi="Calibri" w:cs="Calibri"/>
        </w:rPr>
        <w:t>primary</w:t>
      </w:r>
      <w:r w:rsidRPr="00461964">
        <w:rPr>
          <w:rFonts w:ascii="Calibri" w:hAnsi="Calibri" w:cs="Calibri"/>
        </w:rPr>
        <w:t xml:space="preserve"> objectives:</w:t>
      </w:r>
      <w:bookmarkEnd w:id="29"/>
    </w:p>
    <w:p w:rsidR="00F21996" w:rsidRPr="00461964" w:rsidRDefault="00DF7E6F" w:rsidP="00201CE8">
      <w:pPr>
        <w:numPr>
          <w:ilvl w:val="0"/>
          <w:numId w:val="42"/>
        </w:numPr>
        <w:tabs>
          <w:tab w:val="left" w:pos="709"/>
        </w:tabs>
        <w:spacing w:line="240" w:lineRule="auto"/>
        <w:rPr>
          <w:rFonts w:ascii="Calibri" w:hAnsi="Calibri" w:cs="Calibri"/>
        </w:rPr>
      </w:pPr>
      <w:bookmarkStart w:id="30" w:name="_Toc322935504"/>
      <w:r w:rsidRPr="00461964">
        <w:rPr>
          <w:rFonts w:ascii="Calibri" w:hAnsi="Calibri" w:cs="Calibri"/>
        </w:rPr>
        <w:t>Protection of public health and safety</w:t>
      </w:r>
      <w:bookmarkEnd w:id="30"/>
    </w:p>
    <w:p w:rsidR="00DF7E6F" w:rsidRPr="00461964" w:rsidRDefault="00DF7E6F" w:rsidP="00201CE8">
      <w:pPr>
        <w:numPr>
          <w:ilvl w:val="0"/>
          <w:numId w:val="42"/>
        </w:numPr>
        <w:tabs>
          <w:tab w:val="left" w:pos="709"/>
        </w:tabs>
        <w:spacing w:line="240" w:lineRule="auto"/>
        <w:ind w:right="-164"/>
        <w:rPr>
          <w:rFonts w:ascii="Calibri" w:hAnsi="Calibri" w:cs="Calibri"/>
        </w:rPr>
      </w:pPr>
      <w:bookmarkStart w:id="31" w:name="_Toc322935505"/>
      <w:r w:rsidRPr="00461964">
        <w:rPr>
          <w:rFonts w:ascii="Calibri" w:hAnsi="Calibri" w:cs="Calibri"/>
        </w:rPr>
        <w:t>Provision of adequate information relating to food to enable consumer</w:t>
      </w:r>
      <w:r w:rsidR="00E53B48">
        <w:rPr>
          <w:rFonts w:ascii="Calibri" w:hAnsi="Calibri" w:cs="Calibri"/>
        </w:rPr>
        <w:t>s</w:t>
      </w:r>
      <w:r w:rsidRPr="00461964">
        <w:rPr>
          <w:rFonts w:ascii="Calibri" w:hAnsi="Calibri" w:cs="Calibri"/>
        </w:rPr>
        <w:t xml:space="preserve"> to make informed choices</w:t>
      </w:r>
      <w:bookmarkEnd w:id="31"/>
    </w:p>
    <w:p w:rsidR="00DF7E6F" w:rsidRPr="00461964" w:rsidRDefault="00DF7E6F" w:rsidP="00201CE8">
      <w:pPr>
        <w:numPr>
          <w:ilvl w:val="0"/>
          <w:numId w:val="42"/>
        </w:numPr>
        <w:tabs>
          <w:tab w:val="left" w:pos="709"/>
        </w:tabs>
        <w:spacing w:line="240" w:lineRule="auto"/>
        <w:ind w:right="-164"/>
        <w:rPr>
          <w:rFonts w:ascii="Calibri" w:hAnsi="Calibri" w:cs="Calibri"/>
        </w:rPr>
      </w:pPr>
      <w:bookmarkStart w:id="32" w:name="_Toc322935506"/>
      <w:r w:rsidRPr="00461964">
        <w:rPr>
          <w:rFonts w:ascii="Calibri" w:hAnsi="Calibri" w:cs="Calibri"/>
        </w:rPr>
        <w:t xml:space="preserve">Prevention of misleading and deceptive </w:t>
      </w:r>
      <w:r w:rsidR="006A029E">
        <w:rPr>
          <w:rFonts w:ascii="Calibri" w:hAnsi="Calibri" w:cs="Calibri"/>
        </w:rPr>
        <w:t>conduct</w:t>
      </w:r>
      <w:bookmarkEnd w:id="32"/>
      <w:r w:rsidR="006A029E">
        <w:rPr>
          <w:rFonts w:ascii="Calibri" w:hAnsi="Calibri" w:cs="Calibri"/>
        </w:rPr>
        <w:t>.</w:t>
      </w:r>
    </w:p>
    <w:p w:rsidR="00DF7E6F" w:rsidRPr="00461964" w:rsidRDefault="00DF7E6F" w:rsidP="00201CE8">
      <w:pPr>
        <w:tabs>
          <w:tab w:val="left" w:pos="709"/>
        </w:tabs>
        <w:spacing w:after="0"/>
        <w:rPr>
          <w:rFonts w:ascii="Calibri" w:hAnsi="Calibri" w:cs="Calibri"/>
        </w:rPr>
      </w:pPr>
      <w:bookmarkStart w:id="33" w:name="_Toc322935507"/>
      <w:r w:rsidRPr="00461964">
        <w:rPr>
          <w:rFonts w:ascii="Calibri" w:hAnsi="Calibri" w:cs="Calibri"/>
        </w:rPr>
        <w:t>In doing so, FSANZ must also have regard to the following:</w:t>
      </w:r>
      <w:bookmarkEnd w:id="33"/>
    </w:p>
    <w:p w:rsidR="00DF7E6F" w:rsidRPr="00461964" w:rsidRDefault="00DF7E6F" w:rsidP="00201CE8">
      <w:pPr>
        <w:numPr>
          <w:ilvl w:val="0"/>
          <w:numId w:val="43"/>
        </w:numPr>
        <w:tabs>
          <w:tab w:val="left" w:pos="709"/>
        </w:tabs>
        <w:spacing w:line="240" w:lineRule="auto"/>
        <w:ind w:right="-164"/>
        <w:rPr>
          <w:rFonts w:ascii="Calibri" w:hAnsi="Calibri" w:cs="Calibri"/>
        </w:rPr>
      </w:pPr>
      <w:bookmarkStart w:id="34" w:name="_Toc322935508"/>
      <w:r w:rsidRPr="00461964">
        <w:rPr>
          <w:rFonts w:ascii="Calibri" w:hAnsi="Calibri" w:cs="Calibri"/>
        </w:rPr>
        <w:t>The need for standards to be based on risk analysis using the best available scientific evidence</w:t>
      </w:r>
      <w:bookmarkEnd w:id="34"/>
    </w:p>
    <w:p w:rsidR="00DF7E6F" w:rsidRPr="00461964" w:rsidRDefault="00DF7E6F" w:rsidP="00201CE8">
      <w:pPr>
        <w:numPr>
          <w:ilvl w:val="0"/>
          <w:numId w:val="43"/>
        </w:numPr>
        <w:tabs>
          <w:tab w:val="left" w:pos="709"/>
        </w:tabs>
        <w:spacing w:line="240" w:lineRule="auto"/>
        <w:ind w:right="-164"/>
        <w:rPr>
          <w:rFonts w:ascii="Calibri" w:hAnsi="Calibri" w:cs="Calibri"/>
        </w:rPr>
      </w:pPr>
      <w:bookmarkStart w:id="35" w:name="_Toc322935509"/>
      <w:r w:rsidRPr="00461964">
        <w:rPr>
          <w:rFonts w:ascii="Calibri" w:hAnsi="Calibri" w:cs="Calibri"/>
        </w:rPr>
        <w:t>The promotion of consistency between domestic and international food standards</w:t>
      </w:r>
      <w:bookmarkEnd w:id="35"/>
    </w:p>
    <w:p w:rsidR="00DF7E6F" w:rsidRPr="00461964" w:rsidRDefault="00DF7E6F" w:rsidP="00201CE8">
      <w:pPr>
        <w:numPr>
          <w:ilvl w:val="0"/>
          <w:numId w:val="43"/>
        </w:numPr>
        <w:tabs>
          <w:tab w:val="left" w:pos="709"/>
        </w:tabs>
        <w:spacing w:line="240" w:lineRule="auto"/>
        <w:ind w:right="-164"/>
        <w:rPr>
          <w:rFonts w:ascii="Calibri" w:hAnsi="Calibri" w:cs="Calibri"/>
        </w:rPr>
      </w:pPr>
      <w:bookmarkStart w:id="36" w:name="_Toc322935510"/>
      <w:r w:rsidRPr="00461964">
        <w:rPr>
          <w:rFonts w:ascii="Calibri" w:hAnsi="Calibri" w:cs="Calibri"/>
        </w:rPr>
        <w:t>The desirability of an efficient and internationally competitive food industry</w:t>
      </w:r>
      <w:bookmarkEnd w:id="36"/>
    </w:p>
    <w:p w:rsidR="00DF7E6F" w:rsidRPr="00461964" w:rsidRDefault="00DF7E6F" w:rsidP="00201CE8">
      <w:pPr>
        <w:numPr>
          <w:ilvl w:val="0"/>
          <w:numId w:val="43"/>
        </w:numPr>
        <w:tabs>
          <w:tab w:val="left" w:pos="709"/>
        </w:tabs>
        <w:spacing w:line="240" w:lineRule="auto"/>
        <w:ind w:right="-164"/>
        <w:rPr>
          <w:rFonts w:ascii="Calibri" w:hAnsi="Calibri" w:cs="Calibri"/>
        </w:rPr>
      </w:pPr>
      <w:bookmarkStart w:id="37" w:name="_Toc322935511"/>
      <w:r w:rsidRPr="00461964">
        <w:rPr>
          <w:rFonts w:ascii="Calibri" w:hAnsi="Calibri" w:cs="Calibri"/>
        </w:rPr>
        <w:t>The promotion of fair trading in food</w:t>
      </w:r>
      <w:bookmarkEnd w:id="37"/>
    </w:p>
    <w:p w:rsidR="00DF7E6F" w:rsidRPr="00461964" w:rsidRDefault="00DF7E6F" w:rsidP="00201CE8">
      <w:pPr>
        <w:numPr>
          <w:ilvl w:val="0"/>
          <w:numId w:val="43"/>
        </w:numPr>
        <w:tabs>
          <w:tab w:val="left" w:pos="709"/>
        </w:tabs>
        <w:spacing w:line="240" w:lineRule="auto"/>
        <w:ind w:right="-164"/>
        <w:rPr>
          <w:rFonts w:ascii="Calibri" w:hAnsi="Calibri" w:cs="Calibri"/>
        </w:rPr>
      </w:pPr>
      <w:bookmarkStart w:id="38" w:name="_Toc322935512"/>
      <w:r w:rsidRPr="00461964">
        <w:rPr>
          <w:rFonts w:ascii="Calibri" w:hAnsi="Calibri" w:cs="Calibri"/>
        </w:rPr>
        <w:t xml:space="preserve">Any written policy guidelines formulated by the </w:t>
      </w:r>
      <w:r w:rsidR="00951BA4" w:rsidRPr="00461964">
        <w:rPr>
          <w:rFonts w:ascii="Calibri" w:hAnsi="Calibri" w:cs="Calibri"/>
        </w:rPr>
        <w:t>Ministerial</w:t>
      </w:r>
      <w:r w:rsidRPr="00461964">
        <w:rPr>
          <w:rFonts w:ascii="Calibri" w:hAnsi="Calibri" w:cs="Calibri"/>
        </w:rPr>
        <w:t xml:space="preserve"> Council</w:t>
      </w:r>
      <w:bookmarkEnd w:id="38"/>
      <w:r w:rsidR="00D35E10">
        <w:rPr>
          <w:rFonts w:ascii="Calibri" w:hAnsi="Calibri" w:cs="Calibri"/>
        </w:rPr>
        <w:t>.</w:t>
      </w:r>
    </w:p>
    <w:p w:rsidR="00F21996" w:rsidRPr="00461964" w:rsidRDefault="000C435D" w:rsidP="00201CE8">
      <w:pPr>
        <w:spacing w:before="100" w:beforeAutospacing="1" w:after="100" w:afterAutospacing="1" w:line="276" w:lineRule="auto"/>
        <w:rPr>
          <w:rFonts w:ascii="Calibri" w:hAnsi="Calibri" w:cs="Calibri"/>
        </w:rPr>
      </w:pPr>
      <w:bookmarkStart w:id="39" w:name="_Toc322935513"/>
      <w:r w:rsidRPr="00461964">
        <w:rPr>
          <w:rFonts w:ascii="Calibri" w:hAnsi="Calibri" w:cs="Calibri"/>
        </w:rPr>
        <w:t>F</w:t>
      </w:r>
      <w:r w:rsidR="003A5E4D" w:rsidRPr="00461964">
        <w:rPr>
          <w:rFonts w:ascii="Calibri" w:hAnsi="Calibri" w:cs="Calibri"/>
        </w:rPr>
        <w:t xml:space="preserve">ood standards are </w:t>
      </w:r>
      <w:r w:rsidRPr="00461964">
        <w:rPr>
          <w:rFonts w:ascii="Calibri" w:hAnsi="Calibri" w:cs="Calibri"/>
        </w:rPr>
        <w:t>based on</w:t>
      </w:r>
      <w:r w:rsidR="003A5E4D" w:rsidRPr="00461964">
        <w:rPr>
          <w:rFonts w:ascii="Calibri" w:hAnsi="Calibri" w:cs="Calibri"/>
        </w:rPr>
        <w:t xml:space="preserve"> a scientific risk assessment. This risk assessment process was the </w:t>
      </w:r>
      <w:r w:rsidR="00B56EB6">
        <w:rPr>
          <w:rFonts w:ascii="Calibri" w:hAnsi="Calibri" w:cs="Calibri"/>
        </w:rPr>
        <w:t>subject</w:t>
      </w:r>
      <w:r w:rsidR="00B56EB6" w:rsidRPr="00461964">
        <w:rPr>
          <w:rFonts w:ascii="Calibri" w:hAnsi="Calibri" w:cs="Calibri"/>
        </w:rPr>
        <w:t xml:space="preserve"> </w:t>
      </w:r>
      <w:r w:rsidR="003A5E4D" w:rsidRPr="00461964">
        <w:rPr>
          <w:rFonts w:ascii="Calibri" w:hAnsi="Calibri" w:cs="Calibri"/>
        </w:rPr>
        <w:t>of this review.</w:t>
      </w:r>
      <w:bookmarkEnd w:id="39"/>
      <w:r w:rsidR="003A5E4D" w:rsidRPr="00461964">
        <w:rPr>
          <w:rFonts w:ascii="Calibri" w:hAnsi="Calibri" w:cs="Calibri"/>
        </w:rPr>
        <w:t xml:space="preserve"> </w:t>
      </w:r>
    </w:p>
    <w:p w:rsidR="001431C7" w:rsidRPr="004D4BC1" w:rsidRDefault="0036766D" w:rsidP="008A3A42">
      <w:pPr>
        <w:pStyle w:val="Heading2"/>
      </w:pPr>
      <w:bookmarkStart w:id="40" w:name="_Toc322935514"/>
      <w:bookmarkStart w:id="41" w:name="_Toc332960007"/>
      <w:r>
        <w:t xml:space="preserve">6.1 </w:t>
      </w:r>
      <w:r w:rsidR="001431C7" w:rsidRPr="004D4BC1">
        <w:t xml:space="preserve">Principle </w:t>
      </w:r>
      <w:r w:rsidR="00B56EB6">
        <w:t>p</w:t>
      </w:r>
      <w:r w:rsidR="001431C7" w:rsidRPr="004D4BC1">
        <w:t>rocess</w:t>
      </w:r>
      <w:r w:rsidR="00CC7A05">
        <w:t>es</w:t>
      </w:r>
      <w:r w:rsidR="0019558F">
        <w:t xml:space="preserve"> </w:t>
      </w:r>
      <w:r w:rsidR="00B56EB6">
        <w:t>l</w:t>
      </w:r>
      <w:r w:rsidR="0019558F">
        <w:t xml:space="preserve">eading to a </w:t>
      </w:r>
      <w:r w:rsidR="00B56EB6">
        <w:t>r</w:t>
      </w:r>
      <w:r w:rsidR="0019558F">
        <w:t xml:space="preserve">isk </w:t>
      </w:r>
      <w:r w:rsidR="00B56EB6">
        <w:t>a</w:t>
      </w:r>
      <w:r w:rsidR="000C435D">
        <w:t>ssessment</w:t>
      </w:r>
      <w:bookmarkEnd w:id="40"/>
      <w:bookmarkEnd w:id="41"/>
      <w:r w:rsidR="000C435D">
        <w:t xml:space="preserve"> </w:t>
      </w:r>
    </w:p>
    <w:p w:rsidR="001431C7" w:rsidRPr="00461964" w:rsidRDefault="00B56EB6" w:rsidP="00201CE8">
      <w:pPr>
        <w:tabs>
          <w:tab w:val="left" w:pos="709"/>
        </w:tabs>
        <w:spacing w:after="0"/>
        <w:rPr>
          <w:rFonts w:ascii="Calibri" w:hAnsi="Calibri" w:cs="Calibri"/>
        </w:rPr>
      </w:pPr>
      <w:r>
        <w:rPr>
          <w:rFonts w:ascii="Calibri" w:hAnsi="Calibri" w:cs="Calibri"/>
        </w:rPr>
        <w:t xml:space="preserve">There are two main ways </w:t>
      </w:r>
      <w:r w:rsidR="009233DD">
        <w:rPr>
          <w:rFonts w:ascii="Calibri" w:hAnsi="Calibri" w:cs="Calibri"/>
        </w:rPr>
        <w:t xml:space="preserve">to change the Code </w:t>
      </w:r>
      <w:r w:rsidR="006D72A5">
        <w:rPr>
          <w:rFonts w:ascii="Calibri" w:hAnsi="Calibri" w:cs="Calibri"/>
        </w:rPr>
        <w:t xml:space="preserve">that </w:t>
      </w:r>
      <w:r w:rsidR="00147653">
        <w:rPr>
          <w:rFonts w:ascii="Calibri" w:hAnsi="Calibri" w:cs="Calibri"/>
        </w:rPr>
        <w:t xml:space="preserve">may </w:t>
      </w:r>
      <w:r w:rsidR="006D72A5">
        <w:rPr>
          <w:rFonts w:ascii="Calibri" w:hAnsi="Calibri" w:cs="Calibri"/>
        </w:rPr>
        <w:t>trigger</w:t>
      </w:r>
      <w:r w:rsidR="006D72A5" w:rsidRPr="00461964">
        <w:rPr>
          <w:rFonts w:ascii="Calibri" w:hAnsi="Calibri" w:cs="Calibri"/>
        </w:rPr>
        <w:t xml:space="preserve"> </w:t>
      </w:r>
      <w:r w:rsidR="001431C7" w:rsidRPr="00461964">
        <w:rPr>
          <w:rFonts w:ascii="Calibri" w:hAnsi="Calibri" w:cs="Calibri"/>
        </w:rPr>
        <w:t>risk assessment requests:</w:t>
      </w:r>
    </w:p>
    <w:p w:rsidR="001431C7" w:rsidRPr="00461964" w:rsidRDefault="001431C7" w:rsidP="003B2DBB">
      <w:pPr>
        <w:pStyle w:val="ListParagraph"/>
        <w:spacing w:line="360" w:lineRule="auto"/>
        <w:ind w:left="0" w:firstLine="284"/>
        <w:rPr>
          <w:rFonts w:ascii="Calibri" w:hAnsi="Calibri" w:cs="Calibri"/>
        </w:rPr>
      </w:pPr>
      <w:r w:rsidRPr="00461964">
        <w:rPr>
          <w:rFonts w:ascii="Calibri" w:hAnsi="Calibri" w:cs="Calibri"/>
        </w:rPr>
        <w:t xml:space="preserve">1. </w:t>
      </w:r>
      <w:r w:rsidRPr="00461964">
        <w:rPr>
          <w:rFonts w:ascii="Calibri" w:hAnsi="Calibri" w:cs="Calibri"/>
          <w:b/>
          <w:bCs/>
        </w:rPr>
        <w:t>Applications</w:t>
      </w:r>
      <w:r w:rsidRPr="00461964">
        <w:rPr>
          <w:rFonts w:ascii="Calibri" w:hAnsi="Calibri" w:cs="Calibri"/>
        </w:rPr>
        <w:t xml:space="preserve">: outside requests (mainly by industry) </w:t>
      </w:r>
    </w:p>
    <w:p w:rsidR="001431C7" w:rsidRPr="00461964" w:rsidRDefault="001431C7" w:rsidP="003B2DBB">
      <w:pPr>
        <w:pStyle w:val="ListParagraph"/>
        <w:spacing w:line="360" w:lineRule="auto"/>
        <w:ind w:left="0" w:firstLine="284"/>
        <w:rPr>
          <w:rFonts w:ascii="Calibri" w:hAnsi="Calibri" w:cs="Calibri"/>
        </w:rPr>
      </w:pPr>
      <w:r w:rsidRPr="00461964">
        <w:rPr>
          <w:rFonts w:ascii="Calibri" w:hAnsi="Calibri" w:cs="Calibri"/>
        </w:rPr>
        <w:t xml:space="preserve">2. </w:t>
      </w:r>
      <w:r w:rsidRPr="00461964">
        <w:rPr>
          <w:rFonts w:ascii="Calibri" w:hAnsi="Calibri" w:cs="Calibri"/>
          <w:b/>
          <w:bCs/>
        </w:rPr>
        <w:t>Proposals</w:t>
      </w:r>
      <w:r w:rsidRPr="00461964">
        <w:rPr>
          <w:rFonts w:ascii="Calibri" w:hAnsi="Calibri" w:cs="Calibri"/>
        </w:rPr>
        <w:t>: inside identified needs</w:t>
      </w:r>
    </w:p>
    <w:p w:rsidR="001431C7" w:rsidRPr="00461964" w:rsidRDefault="001431C7" w:rsidP="00201CE8">
      <w:pPr>
        <w:spacing w:before="100" w:beforeAutospacing="1" w:after="100" w:afterAutospacing="1" w:line="276" w:lineRule="auto"/>
        <w:rPr>
          <w:rFonts w:ascii="Calibri" w:hAnsi="Calibri" w:cs="Calibri"/>
        </w:rPr>
      </w:pPr>
      <w:r w:rsidRPr="00461964">
        <w:rPr>
          <w:rFonts w:ascii="Calibri" w:hAnsi="Calibri" w:cs="Calibri"/>
        </w:rPr>
        <w:t xml:space="preserve">Additional </w:t>
      </w:r>
      <w:r w:rsidR="009233DD">
        <w:rPr>
          <w:rFonts w:ascii="Calibri" w:hAnsi="Calibri" w:cs="Calibri"/>
        </w:rPr>
        <w:t xml:space="preserve">proposals to change the Code and/or undertake </w:t>
      </w:r>
      <w:r w:rsidRPr="00461964">
        <w:rPr>
          <w:rFonts w:ascii="Calibri" w:hAnsi="Calibri" w:cs="Calibri"/>
        </w:rPr>
        <w:t>risk assessment</w:t>
      </w:r>
      <w:r w:rsidR="009233DD">
        <w:rPr>
          <w:rFonts w:ascii="Calibri" w:hAnsi="Calibri" w:cs="Calibri"/>
        </w:rPr>
        <w:t>s</w:t>
      </w:r>
      <w:r w:rsidRPr="00461964">
        <w:rPr>
          <w:rFonts w:ascii="Calibri" w:hAnsi="Calibri" w:cs="Calibri"/>
        </w:rPr>
        <w:t xml:space="preserve"> can arise from Ministerial requests, from states and territories</w:t>
      </w:r>
      <w:r w:rsidR="009233DD">
        <w:rPr>
          <w:rFonts w:ascii="Calibri" w:hAnsi="Calibri" w:cs="Calibri"/>
        </w:rPr>
        <w:t xml:space="preserve"> requests</w:t>
      </w:r>
      <w:r w:rsidR="001F2EAE">
        <w:rPr>
          <w:rFonts w:ascii="Calibri" w:hAnsi="Calibri" w:cs="Calibri"/>
        </w:rPr>
        <w:t xml:space="preserve">, </w:t>
      </w:r>
      <w:r w:rsidRPr="00461964">
        <w:rPr>
          <w:rFonts w:ascii="Calibri" w:hAnsi="Calibri" w:cs="Calibri"/>
        </w:rPr>
        <w:t>through food incidents (which then may lead to the development of a proposal)</w:t>
      </w:r>
      <w:r w:rsidR="006D72A5">
        <w:rPr>
          <w:rFonts w:ascii="Calibri" w:hAnsi="Calibri" w:cs="Calibri"/>
        </w:rPr>
        <w:t>, reporting on surveillance activities and emerging issues</w:t>
      </w:r>
      <w:r w:rsidRPr="00461964">
        <w:rPr>
          <w:rFonts w:ascii="Calibri" w:hAnsi="Calibri" w:cs="Calibri"/>
        </w:rPr>
        <w:t>.</w:t>
      </w:r>
    </w:p>
    <w:p w:rsidR="001431C7" w:rsidRDefault="00147653" w:rsidP="00201CE8">
      <w:pPr>
        <w:spacing w:before="100" w:beforeAutospacing="1" w:after="100" w:afterAutospacing="1" w:line="276" w:lineRule="auto"/>
        <w:rPr>
          <w:rFonts w:ascii="Calibri" w:hAnsi="Calibri" w:cs="Calibri"/>
        </w:rPr>
      </w:pPr>
      <w:r>
        <w:rPr>
          <w:rFonts w:ascii="Calibri" w:hAnsi="Calibri" w:cs="Calibri"/>
        </w:rPr>
        <w:t xml:space="preserve">Detailed guidance on how to </w:t>
      </w:r>
      <w:r w:rsidR="00B56EB6">
        <w:rPr>
          <w:rFonts w:ascii="Calibri" w:hAnsi="Calibri" w:cs="Calibri"/>
        </w:rPr>
        <w:t xml:space="preserve">apply </w:t>
      </w:r>
      <w:r>
        <w:rPr>
          <w:rFonts w:ascii="Calibri" w:hAnsi="Calibri" w:cs="Calibri"/>
        </w:rPr>
        <w:t xml:space="preserve">to amend the Code is available in the FSANZ Application Handbook available on the FSANZ website </w:t>
      </w:r>
      <w:r w:rsidR="00D176FF">
        <w:rPr>
          <w:rFonts w:ascii="Calibri" w:hAnsi="Calibri" w:cs="Calibri"/>
        </w:rPr>
        <w:t>at</w:t>
      </w:r>
      <w:r w:rsidR="00D176FF">
        <w:rPr>
          <w:rFonts w:ascii="Calibri" w:hAnsi="Calibri" w:cs="Calibri"/>
          <w:sz w:val="20"/>
          <w:szCs w:val="20"/>
        </w:rPr>
        <w:t xml:space="preserve">: </w:t>
      </w:r>
      <w:hyperlink r:id="rId11" w:history="1">
        <w:r w:rsidR="00D176FF" w:rsidRPr="00201CE8">
          <w:rPr>
            <w:rStyle w:val="Hyperlink"/>
            <w:rFonts w:cs="Arial"/>
            <w:sz w:val="20"/>
            <w:szCs w:val="20"/>
          </w:rPr>
          <w:t>www.foodstandards.gov.au/foodstandards/changingthecode/applicationshandbook.cfm</w:t>
        </w:r>
      </w:hyperlink>
      <w:r w:rsidRPr="00201CE8">
        <w:rPr>
          <w:rFonts w:ascii="Calibri" w:hAnsi="Calibri" w:cs="Calibri"/>
          <w:sz w:val="20"/>
          <w:szCs w:val="20"/>
        </w:rPr>
        <w:t>).</w:t>
      </w:r>
      <w:r>
        <w:rPr>
          <w:rFonts w:ascii="Calibri" w:hAnsi="Calibri" w:cs="Calibri"/>
        </w:rPr>
        <w:t xml:space="preserve"> </w:t>
      </w:r>
    </w:p>
    <w:p w:rsidR="00147653" w:rsidRPr="00201CE8" w:rsidRDefault="00147653" w:rsidP="00201CE8">
      <w:pPr>
        <w:spacing w:before="100" w:beforeAutospacing="1" w:after="100" w:afterAutospacing="1" w:line="276" w:lineRule="auto"/>
        <w:rPr>
          <w:rFonts w:ascii="Calibri" w:hAnsi="Calibri" w:cs="Calibri"/>
        </w:rPr>
      </w:pPr>
      <w:r w:rsidRPr="00201CE8">
        <w:rPr>
          <w:rFonts w:ascii="Calibri" w:hAnsi="Calibri" w:cs="Calibri"/>
        </w:rPr>
        <w:lastRenderedPageBreak/>
        <w:t xml:space="preserve">Proposals are prepared by FSANZ to consider changes to the Food Standards Code. A list of current and </w:t>
      </w:r>
      <w:hyperlink r:id="rId12" w:history="1">
        <w:r w:rsidRPr="00201CE8">
          <w:rPr>
            <w:rFonts w:ascii="Calibri" w:hAnsi="Calibri" w:cs="Calibri"/>
          </w:rPr>
          <w:t>completed proposals</w:t>
        </w:r>
      </w:hyperlink>
      <w:r w:rsidR="001F2EAE" w:rsidRPr="00201CE8">
        <w:rPr>
          <w:rFonts w:ascii="Calibri" w:hAnsi="Calibri" w:cs="Calibri"/>
        </w:rPr>
        <w:t xml:space="preserve"> is</w:t>
      </w:r>
      <w:r w:rsidRPr="00201CE8">
        <w:rPr>
          <w:rFonts w:ascii="Calibri" w:hAnsi="Calibri" w:cs="Calibri"/>
        </w:rPr>
        <w:t xml:space="preserve"> available on the FSANZ website</w:t>
      </w:r>
      <w:r w:rsidR="00B56EB6" w:rsidRPr="00201CE8">
        <w:rPr>
          <w:rFonts w:ascii="Calibri" w:hAnsi="Calibri" w:cs="Calibri"/>
        </w:rPr>
        <w:t xml:space="preserve"> at:</w:t>
      </w:r>
      <w:r w:rsidRPr="00201CE8">
        <w:rPr>
          <w:rFonts w:ascii="Calibri" w:hAnsi="Calibri" w:cs="Calibri"/>
        </w:rPr>
        <w:t xml:space="preserve"> </w:t>
      </w:r>
      <w:hyperlink r:id="rId13" w:history="1">
        <w:r w:rsidR="001F2EAE" w:rsidRPr="00201CE8">
          <w:rPr>
            <w:rFonts w:ascii="Calibri" w:hAnsi="Calibri" w:cs="Calibri"/>
          </w:rPr>
          <w:t>http://www.foodstandards.gov.au/foodstandards/proposals/</w:t>
        </w:r>
      </w:hyperlink>
      <w:r w:rsidR="001F2EAE" w:rsidRPr="00201CE8">
        <w:rPr>
          <w:rFonts w:ascii="Calibri" w:hAnsi="Calibri" w:cs="Calibri"/>
        </w:rPr>
        <w:t xml:space="preserve"> </w:t>
      </w:r>
    </w:p>
    <w:p w:rsidR="001431C7" w:rsidRDefault="00C41781" w:rsidP="00201CE8">
      <w:pPr>
        <w:spacing w:before="100" w:beforeAutospacing="1" w:after="100" w:afterAutospacing="1" w:line="276" w:lineRule="auto"/>
        <w:rPr>
          <w:rFonts w:ascii="Calibri" w:hAnsi="Calibri" w:cs="Calibri"/>
        </w:rPr>
      </w:pPr>
      <w:r w:rsidRPr="00461964">
        <w:rPr>
          <w:rFonts w:ascii="Calibri" w:hAnsi="Calibri" w:cs="Calibri"/>
        </w:rPr>
        <w:t xml:space="preserve">All documents </w:t>
      </w:r>
      <w:r w:rsidR="001431C7" w:rsidRPr="00461964">
        <w:rPr>
          <w:rFonts w:ascii="Calibri" w:hAnsi="Calibri" w:cs="Calibri"/>
        </w:rPr>
        <w:t xml:space="preserve">used in </w:t>
      </w:r>
      <w:r w:rsidRPr="00461964">
        <w:rPr>
          <w:rFonts w:ascii="Calibri" w:hAnsi="Calibri" w:cs="Calibri"/>
        </w:rPr>
        <w:t xml:space="preserve">the </w:t>
      </w:r>
      <w:r w:rsidR="001431C7" w:rsidRPr="00461964">
        <w:rPr>
          <w:rFonts w:ascii="Calibri" w:hAnsi="Calibri" w:cs="Calibri"/>
        </w:rPr>
        <w:t>assessment</w:t>
      </w:r>
      <w:r w:rsidR="009975EA" w:rsidRPr="00461964">
        <w:rPr>
          <w:rFonts w:ascii="Calibri" w:hAnsi="Calibri" w:cs="Calibri"/>
        </w:rPr>
        <w:t>s</w:t>
      </w:r>
      <w:r w:rsidR="001431C7" w:rsidRPr="00461964">
        <w:rPr>
          <w:rFonts w:ascii="Calibri" w:hAnsi="Calibri" w:cs="Calibri"/>
        </w:rPr>
        <w:t xml:space="preserve"> are publicly (electronically) available, except those considered </w:t>
      </w:r>
      <w:r w:rsidR="006D72A5">
        <w:rPr>
          <w:rFonts w:ascii="Calibri" w:hAnsi="Calibri" w:cs="Calibri"/>
        </w:rPr>
        <w:t xml:space="preserve">to meet the definition of </w:t>
      </w:r>
      <w:r w:rsidR="001431C7" w:rsidRPr="00461964">
        <w:rPr>
          <w:rFonts w:ascii="Calibri" w:hAnsi="Calibri" w:cs="Calibri"/>
        </w:rPr>
        <w:t xml:space="preserve">confidential </w:t>
      </w:r>
      <w:r w:rsidR="006D72A5">
        <w:rPr>
          <w:rFonts w:ascii="Calibri" w:hAnsi="Calibri" w:cs="Calibri"/>
        </w:rPr>
        <w:t>commerci</w:t>
      </w:r>
      <w:r w:rsidR="001F2EAE">
        <w:rPr>
          <w:rFonts w:ascii="Calibri" w:hAnsi="Calibri" w:cs="Calibri"/>
        </w:rPr>
        <w:t>al information in the FSANZ Act</w:t>
      </w:r>
      <w:r w:rsidR="00147653">
        <w:rPr>
          <w:rFonts w:ascii="Calibri" w:hAnsi="Calibri" w:cs="Calibri"/>
        </w:rPr>
        <w:t xml:space="preserve">. Depending on the complexity of the assessment there will be one or two rounds of public consultation. </w:t>
      </w:r>
    </w:p>
    <w:p w:rsidR="007737D1" w:rsidRPr="00201CE8" w:rsidRDefault="007737D1" w:rsidP="00201CE8">
      <w:pPr>
        <w:spacing w:before="100" w:beforeAutospacing="1" w:after="100" w:afterAutospacing="1" w:line="276" w:lineRule="auto"/>
        <w:rPr>
          <w:rFonts w:ascii="Calibri" w:hAnsi="Calibri" w:cs="Calibri"/>
        </w:rPr>
      </w:pPr>
      <w:r w:rsidRPr="00201CE8">
        <w:rPr>
          <w:rFonts w:ascii="Calibri" w:hAnsi="Calibri" w:cs="Calibri"/>
        </w:rPr>
        <w:t xml:space="preserve">FSANZ employs a matrix management approach to consider such projects.  Specifically, </w:t>
      </w:r>
      <w:r w:rsidR="00B56EB6" w:rsidRPr="00201CE8">
        <w:rPr>
          <w:rFonts w:ascii="Calibri" w:hAnsi="Calibri" w:cs="Calibri"/>
        </w:rPr>
        <w:br/>
      </w:r>
      <w:r w:rsidRPr="00201CE8">
        <w:rPr>
          <w:rFonts w:ascii="Calibri" w:hAnsi="Calibri" w:cs="Calibri"/>
        </w:rPr>
        <w:t>multi-disciplinary teams are established for each project comprising risk assessors, risk managers and risk communicators, including staff with specific expertise relevant to the particular project.</w:t>
      </w:r>
    </w:p>
    <w:p w:rsidR="00865BAE" w:rsidRPr="00DD0605" w:rsidRDefault="00865BAE" w:rsidP="008A3A42">
      <w:pPr>
        <w:pStyle w:val="Heading2"/>
      </w:pPr>
      <w:bookmarkStart w:id="42" w:name="_Toc322935515"/>
      <w:bookmarkStart w:id="43" w:name="_Toc332960008"/>
      <w:r w:rsidRPr="00865BAE">
        <w:t xml:space="preserve">6.2. </w:t>
      </w:r>
      <w:r w:rsidR="004F148B">
        <w:t xml:space="preserve">Risk </w:t>
      </w:r>
      <w:r w:rsidR="00B56EB6">
        <w:t>a</w:t>
      </w:r>
      <w:r w:rsidR="004F148B">
        <w:t xml:space="preserve">ssessments </w:t>
      </w:r>
      <w:r w:rsidRPr="00865BAE">
        <w:t>covered by FSANZ</w:t>
      </w:r>
      <w:bookmarkEnd w:id="42"/>
      <w:bookmarkEnd w:id="43"/>
      <w:r w:rsidR="00DD0605">
        <w:t xml:space="preserve"> </w:t>
      </w:r>
    </w:p>
    <w:p w:rsidR="00865BAE" w:rsidRPr="00461964" w:rsidRDefault="0041533C" w:rsidP="00201CE8">
      <w:pPr>
        <w:spacing w:before="100" w:beforeAutospacing="1" w:after="100" w:afterAutospacing="1" w:line="276" w:lineRule="auto"/>
        <w:rPr>
          <w:rFonts w:ascii="Calibri" w:hAnsi="Calibri" w:cs="Calibri"/>
        </w:rPr>
      </w:pPr>
      <w:bookmarkStart w:id="44" w:name="_Toc322935516"/>
      <w:r w:rsidRPr="00461964">
        <w:rPr>
          <w:rFonts w:ascii="Calibri" w:hAnsi="Calibri" w:cs="Calibri"/>
        </w:rPr>
        <w:t>FSANZ</w:t>
      </w:r>
      <w:r w:rsidR="0023294E">
        <w:rPr>
          <w:rFonts w:ascii="Calibri" w:hAnsi="Calibri" w:cs="Calibri"/>
        </w:rPr>
        <w:t xml:space="preserve"> conducts</w:t>
      </w:r>
      <w:r w:rsidR="00910AD2" w:rsidRPr="00461964">
        <w:rPr>
          <w:rFonts w:ascii="Calibri" w:hAnsi="Calibri" w:cs="Calibri"/>
        </w:rPr>
        <w:t xml:space="preserve"> microbiological</w:t>
      </w:r>
      <w:r w:rsidR="00A32563">
        <w:rPr>
          <w:rFonts w:ascii="Calibri" w:hAnsi="Calibri" w:cs="Calibri"/>
        </w:rPr>
        <w:t>, nutrient</w:t>
      </w:r>
      <w:r w:rsidR="00910AD2" w:rsidRPr="00461964">
        <w:rPr>
          <w:rFonts w:ascii="Calibri" w:hAnsi="Calibri" w:cs="Calibri"/>
        </w:rPr>
        <w:t xml:space="preserve"> and </w:t>
      </w:r>
      <w:r w:rsidR="00A32563">
        <w:rPr>
          <w:rFonts w:ascii="Calibri" w:hAnsi="Calibri" w:cs="Calibri"/>
        </w:rPr>
        <w:t xml:space="preserve">food </w:t>
      </w:r>
      <w:r w:rsidR="00910AD2" w:rsidRPr="00461964">
        <w:rPr>
          <w:rFonts w:ascii="Calibri" w:hAnsi="Calibri" w:cs="Calibri"/>
        </w:rPr>
        <w:t xml:space="preserve">chemical risk assessments, </w:t>
      </w:r>
      <w:r w:rsidR="0023294E">
        <w:rPr>
          <w:rFonts w:ascii="Calibri" w:hAnsi="Calibri" w:cs="Calibri"/>
        </w:rPr>
        <w:t xml:space="preserve">and risk assessments of </w:t>
      </w:r>
      <w:r w:rsidR="00E42D21">
        <w:rPr>
          <w:rFonts w:ascii="Calibri" w:hAnsi="Calibri" w:cs="Calibri"/>
        </w:rPr>
        <w:t>GM</w:t>
      </w:r>
      <w:r w:rsidR="00910AD2" w:rsidRPr="00461964">
        <w:rPr>
          <w:rFonts w:ascii="Calibri" w:hAnsi="Calibri" w:cs="Calibri"/>
        </w:rPr>
        <w:t xml:space="preserve"> organisms (and products thereof</w:t>
      </w:r>
      <w:r w:rsidR="00306F14" w:rsidRPr="00461964">
        <w:rPr>
          <w:rFonts w:ascii="Calibri" w:hAnsi="Calibri" w:cs="Calibri"/>
        </w:rPr>
        <w:t>, e.g. enzymes</w:t>
      </w:r>
      <w:r w:rsidR="00910AD2" w:rsidRPr="00461964">
        <w:rPr>
          <w:rFonts w:ascii="Calibri" w:hAnsi="Calibri" w:cs="Calibri"/>
        </w:rPr>
        <w:t xml:space="preserve">), </w:t>
      </w:r>
      <w:r w:rsidR="004F148B" w:rsidRPr="00461964">
        <w:rPr>
          <w:rFonts w:ascii="Calibri" w:hAnsi="Calibri" w:cs="Calibri"/>
        </w:rPr>
        <w:t>production p</w:t>
      </w:r>
      <w:r w:rsidR="003A09CB" w:rsidRPr="00461964">
        <w:rPr>
          <w:rFonts w:ascii="Calibri" w:hAnsi="Calibri" w:cs="Calibri"/>
        </w:rPr>
        <w:t>rocesses (</w:t>
      </w:r>
      <w:r w:rsidR="00910AD2" w:rsidRPr="00461964">
        <w:rPr>
          <w:rFonts w:ascii="Calibri" w:hAnsi="Calibri" w:cs="Calibri"/>
        </w:rPr>
        <w:t>BSE</w:t>
      </w:r>
      <w:r w:rsidR="003A09CB" w:rsidRPr="00461964">
        <w:rPr>
          <w:rFonts w:ascii="Calibri" w:hAnsi="Calibri" w:cs="Calibri"/>
        </w:rPr>
        <w:t>) and</w:t>
      </w:r>
      <w:r w:rsidR="00910AD2" w:rsidRPr="00461964">
        <w:rPr>
          <w:rFonts w:ascii="Calibri" w:hAnsi="Calibri" w:cs="Calibri"/>
        </w:rPr>
        <w:t xml:space="preserve"> </w:t>
      </w:r>
      <w:r w:rsidR="00A32563">
        <w:rPr>
          <w:rFonts w:ascii="Calibri" w:hAnsi="Calibri" w:cs="Calibri"/>
        </w:rPr>
        <w:t xml:space="preserve">assessments of </w:t>
      </w:r>
      <w:r w:rsidR="004F148B" w:rsidRPr="00461964">
        <w:rPr>
          <w:rFonts w:ascii="Calibri" w:hAnsi="Calibri" w:cs="Calibri"/>
        </w:rPr>
        <w:t xml:space="preserve">public health </w:t>
      </w:r>
      <w:r w:rsidR="00A32563">
        <w:rPr>
          <w:rFonts w:ascii="Calibri" w:hAnsi="Calibri" w:cs="Calibri"/>
        </w:rPr>
        <w:t>impact</w:t>
      </w:r>
      <w:r w:rsidR="00910AD2" w:rsidRPr="00461964">
        <w:rPr>
          <w:rFonts w:ascii="Calibri" w:hAnsi="Calibri" w:cs="Calibri"/>
        </w:rPr>
        <w:t xml:space="preserve">. </w:t>
      </w:r>
      <w:r w:rsidR="00156EE7" w:rsidRPr="00461964">
        <w:rPr>
          <w:rFonts w:ascii="Calibri" w:hAnsi="Calibri" w:cs="Calibri"/>
        </w:rPr>
        <w:t xml:space="preserve">Of increasing importance is the </w:t>
      </w:r>
      <w:r w:rsidR="00B56EB6">
        <w:rPr>
          <w:rFonts w:ascii="Calibri" w:hAnsi="Calibri" w:cs="Calibri"/>
        </w:rPr>
        <w:t xml:space="preserve">link </w:t>
      </w:r>
      <w:r w:rsidR="00156EE7" w:rsidRPr="00461964">
        <w:rPr>
          <w:rFonts w:ascii="Calibri" w:hAnsi="Calibri" w:cs="Calibri"/>
        </w:rPr>
        <w:t>be</w:t>
      </w:r>
      <w:r w:rsidR="004F148B" w:rsidRPr="00461964">
        <w:rPr>
          <w:rFonts w:ascii="Calibri" w:hAnsi="Calibri" w:cs="Calibri"/>
        </w:rPr>
        <w:t xml:space="preserve">tween the different disciplines </w:t>
      </w:r>
      <w:r w:rsidR="00156EE7" w:rsidRPr="00461964">
        <w:rPr>
          <w:rFonts w:ascii="Calibri" w:hAnsi="Calibri" w:cs="Calibri"/>
        </w:rPr>
        <w:t xml:space="preserve">for </w:t>
      </w:r>
      <w:r w:rsidR="00AC5AAE" w:rsidRPr="00461964">
        <w:rPr>
          <w:rFonts w:ascii="Calibri" w:hAnsi="Calibri" w:cs="Calibri"/>
        </w:rPr>
        <w:t>increasingly</w:t>
      </w:r>
      <w:r w:rsidR="00156EE7" w:rsidRPr="00461964">
        <w:rPr>
          <w:rFonts w:ascii="Calibri" w:hAnsi="Calibri" w:cs="Calibri"/>
        </w:rPr>
        <w:t xml:space="preserve"> </w:t>
      </w:r>
      <w:r w:rsidR="00AC5AAE" w:rsidRPr="00461964">
        <w:rPr>
          <w:rFonts w:ascii="Calibri" w:hAnsi="Calibri" w:cs="Calibri"/>
        </w:rPr>
        <w:t>complex</w:t>
      </w:r>
      <w:r w:rsidR="00156EE7" w:rsidRPr="00461964">
        <w:rPr>
          <w:rFonts w:ascii="Calibri" w:hAnsi="Calibri" w:cs="Calibri"/>
        </w:rPr>
        <w:t xml:space="preserve"> risk assessment questions.</w:t>
      </w:r>
      <w:bookmarkEnd w:id="44"/>
      <w:r w:rsidRPr="00461964">
        <w:rPr>
          <w:rFonts w:ascii="Calibri" w:hAnsi="Calibri" w:cs="Calibri"/>
        </w:rPr>
        <w:t xml:space="preserve"> </w:t>
      </w:r>
      <w:r w:rsidR="0023294E">
        <w:rPr>
          <w:rFonts w:ascii="Calibri" w:hAnsi="Calibri" w:cs="Calibri"/>
        </w:rPr>
        <w:t>R</w:t>
      </w:r>
      <w:r w:rsidRPr="00461964">
        <w:rPr>
          <w:rFonts w:ascii="Calibri" w:hAnsi="Calibri" w:cs="Calibri"/>
        </w:rPr>
        <w:t xml:space="preserve">isk benefit considerations are </w:t>
      </w:r>
      <w:r w:rsidR="0023294E">
        <w:rPr>
          <w:rFonts w:ascii="Calibri" w:hAnsi="Calibri" w:cs="Calibri"/>
        </w:rPr>
        <w:t xml:space="preserve">also </w:t>
      </w:r>
      <w:r w:rsidRPr="00461964">
        <w:rPr>
          <w:rFonts w:ascii="Calibri" w:hAnsi="Calibri" w:cs="Calibri"/>
        </w:rPr>
        <w:t>of increasing importance in the food area.</w:t>
      </w:r>
    </w:p>
    <w:p w:rsidR="00E1060E" w:rsidRPr="00461964" w:rsidRDefault="00B56EB6" w:rsidP="00201CE8">
      <w:pPr>
        <w:tabs>
          <w:tab w:val="left" w:pos="709"/>
        </w:tabs>
        <w:spacing w:after="0"/>
        <w:rPr>
          <w:rFonts w:ascii="Calibri" w:hAnsi="Calibri" w:cs="Calibri"/>
        </w:rPr>
      </w:pPr>
      <w:bookmarkStart w:id="45" w:name="_Toc322935517"/>
      <w:r>
        <w:rPr>
          <w:rFonts w:ascii="Calibri" w:hAnsi="Calibri" w:cs="Calibri"/>
        </w:rPr>
        <w:t>D</w:t>
      </w:r>
      <w:r w:rsidR="00306F14" w:rsidRPr="00461964">
        <w:rPr>
          <w:rFonts w:ascii="Calibri" w:hAnsi="Calibri" w:cs="Calibri"/>
        </w:rPr>
        <w:t>ietary exposure assessment</w:t>
      </w:r>
      <w:r>
        <w:rPr>
          <w:rFonts w:ascii="Calibri" w:hAnsi="Calibri" w:cs="Calibri"/>
        </w:rPr>
        <w:t>s</w:t>
      </w:r>
      <w:r w:rsidR="00306F14" w:rsidRPr="00461964">
        <w:rPr>
          <w:rFonts w:ascii="Calibri" w:hAnsi="Calibri" w:cs="Calibri"/>
        </w:rPr>
        <w:t xml:space="preserve"> </w:t>
      </w:r>
      <w:r>
        <w:rPr>
          <w:rFonts w:ascii="Calibri" w:hAnsi="Calibri" w:cs="Calibri"/>
        </w:rPr>
        <w:t xml:space="preserve">and </w:t>
      </w:r>
      <w:r w:rsidR="00E9530E">
        <w:rPr>
          <w:rFonts w:ascii="Calibri" w:hAnsi="Calibri" w:cs="Calibri"/>
        </w:rPr>
        <w:t xml:space="preserve">data inputs from </w:t>
      </w:r>
      <w:r w:rsidR="00156EE7" w:rsidRPr="00461964">
        <w:rPr>
          <w:rFonts w:ascii="Calibri" w:hAnsi="Calibri" w:cs="Calibri"/>
        </w:rPr>
        <w:t xml:space="preserve">food surveillance work </w:t>
      </w:r>
      <w:r w:rsidR="00E9530E">
        <w:rPr>
          <w:rFonts w:ascii="Calibri" w:hAnsi="Calibri" w:cs="Calibri"/>
        </w:rPr>
        <w:t>are</w:t>
      </w:r>
      <w:r w:rsidR="00E9530E" w:rsidRPr="00461964">
        <w:rPr>
          <w:rFonts w:ascii="Calibri" w:hAnsi="Calibri" w:cs="Calibri"/>
        </w:rPr>
        <w:t xml:space="preserve"> </w:t>
      </w:r>
      <w:r w:rsidR="00156EE7" w:rsidRPr="00461964">
        <w:rPr>
          <w:rFonts w:ascii="Calibri" w:hAnsi="Calibri" w:cs="Calibri"/>
        </w:rPr>
        <w:t>an important part of the overall risk assessment.</w:t>
      </w:r>
      <w:bookmarkEnd w:id="45"/>
      <w:r w:rsidR="00156EE7" w:rsidRPr="00461964">
        <w:rPr>
          <w:rFonts w:ascii="Calibri" w:hAnsi="Calibri" w:cs="Calibri"/>
        </w:rPr>
        <w:t xml:space="preserve"> </w:t>
      </w:r>
    </w:p>
    <w:p w:rsidR="00733EEC" w:rsidRPr="00E1060E" w:rsidRDefault="00936EA3" w:rsidP="008A3A42">
      <w:pPr>
        <w:pStyle w:val="Heading3"/>
      </w:pPr>
      <w:bookmarkStart w:id="46" w:name="_Toc322935518"/>
      <w:bookmarkStart w:id="47" w:name="_Toc332960009"/>
      <w:r>
        <w:t xml:space="preserve">6.2.1. </w:t>
      </w:r>
      <w:r w:rsidR="00733EEC" w:rsidRPr="00E1060E">
        <w:t>Microbiological Risk Assessment</w:t>
      </w:r>
      <w:r w:rsidR="003A4843" w:rsidRPr="00E1060E">
        <w:t>s</w:t>
      </w:r>
      <w:bookmarkEnd w:id="46"/>
      <w:bookmarkEnd w:id="47"/>
    </w:p>
    <w:p w:rsidR="003A4843" w:rsidRPr="00461964" w:rsidRDefault="003A4843" w:rsidP="00201CE8">
      <w:pPr>
        <w:spacing w:before="100" w:beforeAutospacing="1" w:after="100" w:afterAutospacing="1" w:line="276" w:lineRule="auto"/>
        <w:rPr>
          <w:rFonts w:ascii="Calibri" w:hAnsi="Calibri" w:cs="Calibri"/>
        </w:rPr>
      </w:pPr>
      <w:r w:rsidRPr="00461964">
        <w:rPr>
          <w:rFonts w:ascii="Calibri" w:hAnsi="Calibri" w:cs="Calibri"/>
        </w:rPr>
        <w:t>Microbiological risk assessments have to address very different needs. In relation to applications it is very targeted</w:t>
      </w:r>
      <w:r w:rsidR="0023294E">
        <w:rPr>
          <w:rFonts w:ascii="Calibri" w:hAnsi="Calibri" w:cs="Calibri"/>
        </w:rPr>
        <w:t>, often</w:t>
      </w:r>
      <w:r w:rsidRPr="00461964">
        <w:rPr>
          <w:rFonts w:ascii="Calibri" w:hAnsi="Calibri" w:cs="Calibri"/>
        </w:rPr>
        <w:t xml:space="preserve"> addressing one specific aspect and </w:t>
      </w:r>
      <w:r w:rsidR="0041533C" w:rsidRPr="00461964">
        <w:rPr>
          <w:rFonts w:ascii="Calibri" w:hAnsi="Calibri" w:cs="Calibri"/>
        </w:rPr>
        <w:t xml:space="preserve">is </w:t>
      </w:r>
      <w:r w:rsidRPr="00461964">
        <w:rPr>
          <w:rFonts w:ascii="Calibri" w:hAnsi="Calibri" w:cs="Calibri"/>
        </w:rPr>
        <w:t xml:space="preserve">used in combination with other risk assessments. </w:t>
      </w:r>
      <w:r w:rsidR="00973CE8" w:rsidRPr="00461964">
        <w:rPr>
          <w:rFonts w:ascii="Calibri" w:hAnsi="Calibri" w:cs="Calibri"/>
        </w:rPr>
        <w:t>Very complex assessments have to be undertaken for primary production standards, i.e. when undertaking food-chain assessments</w:t>
      </w:r>
      <w:r w:rsidR="00A356F4" w:rsidRPr="00461964">
        <w:rPr>
          <w:rFonts w:ascii="Calibri" w:hAnsi="Calibri" w:cs="Calibri"/>
        </w:rPr>
        <w:t xml:space="preserve"> where potentially multiple hazards and multiple commodities have to be </w:t>
      </w:r>
      <w:r w:rsidR="0035434B" w:rsidRPr="00461964">
        <w:rPr>
          <w:rFonts w:ascii="Calibri" w:hAnsi="Calibri" w:cs="Calibri"/>
        </w:rPr>
        <w:t>considered</w:t>
      </w:r>
      <w:r w:rsidR="00973CE8" w:rsidRPr="00461964">
        <w:rPr>
          <w:rFonts w:ascii="Calibri" w:hAnsi="Calibri" w:cs="Calibri"/>
        </w:rPr>
        <w:t>. These complex assessment</w:t>
      </w:r>
      <w:r w:rsidR="00306F14" w:rsidRPr="00461964">
        <w:rPr>
          <w:rFonts w:ascii="Calibri" w:hAnsi="Calibri" w:cs="Calibri"/>
        </w:rPr>
        <w:t>s</w:t>
      </w:r>
      <w:r w:rsidR="00973CE8" w:rsidRPr="00461964">
        <w:rPr>
          <w:rFonts w:ascii="Calibri" w:hAnsi="Calibri" w:cs="Calibri"/>
        </w:rPr>
        <w:t xml:space="preserve"> can be qualitative or quantitative. The decision to do a more complex and resource intensive quantitative</w:t>
      </w:r>
      <w:r w:rsidR="00E42D21">
        <w:rPr>
          <w:rFonts w:ascii="Calibri" w:hAnsi="Calibri" w:cs="Calibri"/>
        </w:rPr>
        <w:t xml:space="preserve"> </w:t>
      </w:r>
      <w:r w:rsidR="00F60596">
        <w:rPr>
          <w:rFonts w:ascii="Calibri" w:hAnsi="Calibri" w:cs="Calibri"/>
        </w:rPr>
        <w:t>assessment</w:t>
      </w:r>
      <w:r w:rsidR="00973CE8" w:rsidRPr="00461964">
        <w:rPr>
          <w:rFonts w:ascii="Calibri" w:hAnsi="Calibri" w:cs="Calibri"/>
        </w:rPr>
        <w:t xml:space="preserve"> versus a qualitative assessment is currently mainly driven by data availability, i.e. by what is possible. </w:t>
      </w:r>
      <w:r w:rsidR="00A356F4" w:rsidRPr="00461964">
        <w:rPr>
          <w:rFonts w:ascii="Calibri" w:hAnsi="Calibri" w:cs="Calibri"/>
        </w:rPr>
        <w:t xml:space="preserve"> </w:t>
      </w:r>
    </w:p>
    <w:p w:rsidR="0041533C" w:rsidRPr="00461964" w:rsidRDefault="00A356F4" w:rsidP="00201CE8">
      <w:pPr>
        <w:spacing w:before="100" w:beforeAutospacing="1" w:after="100" w:afterAutospacing="1" w:line="276" w:lineRule="auto"/>
        <w:rPr>
          <w:rFonts w:ascii="Calibri" w:hAnsi="Calibri" w:cs="Calibri"/>
        </w:rPr>
      </w:pPr>
      <w:r w:rsidRPr="00461964">
        <w:rPr>
          <w:rFonts w:ascii="Calibri" w:hAnsi="Calibri" w:cs="Calibri"/>
        </w:rPr>
        <w:t>Overall microbiological risk assessments are well defined and well-structured</w:t>
      </w:r>
      <w:r w:rsidR="003B4AF6" w:rsidRPr="00461964">
        <w:rPr>
          <w:rFonts w:ascii="Calibri" w:hAnsi="Calibri" w:cs="Calibri"/>
        </w:rPr>
        <w:t>, and clearly follow internationally accepted approaches</w:t>
      </w:r>
      <w:r w:rsidRPr="00461964">
        <w:rPr>
          <w:rFonts w:ascii="Calibri" w:hAnsi="Calibri" w:cs="Calibri"/>
        </w:rPr>
        <w:t xml:space="preserve">. </w:t>
      </w:r>
      <w:r w:rsidR="001F1ED8" w:rsidRPr="00461964">
        <w:rPr>
          <w:rFonts w:ascii="Calibri" w:hAnsi="Calibri" w:cs="Calibri"/>
        </w:rPr>
        <w:t>Where appropriate, international assessments are being taken up and adapted to the national situation (e.g. salmonella in chicken)</w:t>
      </w:r>
      <w:r w:rsidR="003A3964" w:rsidRPr="00461964">
        <w:rPr>
          <w:rFonts w:ascii="Calibri" w:hAnsi="Calibri" w:cs="Calibri"/>
        </w:rPr>
        <w:t>.</w:t>
      </w:r>
      <w:r w:rsidR="00B56EB6">
        <w:rPr>
          <w:rFonts w:ascii="Calibri" w:hAnsi="Calibri" w:cs="Calibri"/>
        </w:rPr>
        <w:t xml:space="preserve"> The strength of FSANZ’s microbiological risk assessments is its </w:t>
      </w:r>
      <w:r w:rsidR="0041533C" w:rsidRPr="00461964">
        <w:rPr>
          <w:rFonts w:ascii="Calibri" w:hAnsi="Calibri" w:cs="Calibri"/>
        </w:rPr>
        <w:t>scientific competence in house and the application of qualitative as well as quantitative risk assessments.</w:t>
      </w:r>
    </w:p>
    <w:p w:rsidR="00774B4F" w:rsidRPr="00461964" w:rsidRDefault="00B56EB6" w:rsidP="00201CE8">
      <w:pPr>
        <w:spacing w:before="100" w:beforeAutospacing="1" w:after="100" w:afterAutospacing="1" w:line="276" w:lineRule="auto"/>
        <w:rPr>
          <w:rFonts w:ascii="Calibri" w:hAnsi="Calibri" w:cs="Calibri"/>
        </w:rPr>
      </w:pPr>
      <w:r>
        <w:rPr>
          <w:rFonts w:ascii="Calibri" w:hAnsi="Calibri" w:cs="Calibri"/>
        </w:rPr>
        <w:t xml:space="preserve">However, </w:t>
      </w:r>
      <w:r w:rsidR="0041533C" w:rsidRPr="00461964">
        <w:rPr>
          <w:rFonts w:ascii="Calibri" w:hAnsi="Calibri" w:cs="Calibri"/>
        </w:rPr>
        <w:t>t</w:t>
      </w:r>
      <w:r w:rsidR="0035434B" w:rsidRPr="00461964">
        <w:rPr>
          <w:rFonts w:ascii="Calibri" w:hAnsi="Calibri" w:cs="Calibri"/>
        </w:rPr>
        <w:t xml:space="preserve">here is a </w:t>
      </w:r>
      <w:r w:rsidR="0035434B" w:rsidRPr="00862878">
        <w:rPr>
          <w:rFonts w:ascii="Calibri" w:hAnsi="Calibri" w:cs="Calibri"/>
        </w:rPr>
        <w:t xml:space="preserve">need to develop decision criteria </w:t>
      </w:r>
      <w:r w:rsidR="00583976" w:rsidRPr="00862878">
        <w:rPr>
          <w:rFonts w:ascii="Calibri" w:hAnsi="Calibri" w:cs="Calibri"/>
        </w:rPr>
        <w:t>for</w:t>
      </w:r>
      <w:r w:rsidR="0035434B" w:rsidRPr="00862878">
        <w:rPr>
          <w:rFonts w:ascii="Calibri" w:hAnsi="Calibri" w:cs="Calibri"/>
        </w:rPr>
        <w:t xml:space="preserve"> qualitative rather than quantitative</w:t>
      </w:r>
      <w:r w:rsidR="00F044DB" w:rsidRPr="00862878">
        <w:rPr>
          <w:rFonts w:ascii="Calibri" w:hAnsi="Calibri" w:cs="Calibri"/>
        </w:rPr>
        <w:t xml:space="preserve"> </w:t>
      </w:r>
      <w:r w:rsidR="00002757" w:rsidRPr="00862878">
        <w:rPr>
          <w:rFonts w:ascii="Calibri" w:hAnsi="Calibri" w:cs="Calibri"/>
        </w:rPr>
        <w:t>approaches for complex</w:t>
      </w:r>
      <w:r w:rsidR="00936EA3">
        <w:rPr>
          <w:rFonts w:ascii="Calibri" w:hAnsi="Calibri" w:cs="Calibri"/>
        </w:rPr>
        <w:t xml:space="preserve"> microbiological</w:t>
      </w:r>
      <w:r w:rsidR="00002757" w:rsidRPr="00862878">
        <w:rPr>
          <w:rFonts w:ascii="Calibri" w:hAnsi="Calibri" w:cs="Calibri"/>
        </w:rPr>
        <w:t xml:space="preserve"> risk assessments</w:t>
      </w:r>
      <w:r w:rsidR="0035434B" w:rsidRPr="00862878">
        <w:rPr>
          <w:rFonts w:ascii="Calibri" w:hAnsi="Calibri" w:cs="Calibri"/>
        </w:rPr>
        <w:t xml:space="preserve">, and when risk profiling rather than full risk assessments </w:t>
      </w:r>
      <w:r w:rsidR="00E9530E">
        <w:rPr>
          <w:rFonts w:ascii="Calibri" w:hAnsi="Calibri" w:cs="Calibri"/>
        </w:rPr>
        <w:t>is</w:t>
      </w:r>
      <w:r w:rsidR="00E9530E" w:rsidRPr="00862878">
        <w:rPr>
          <w:rFonts w:ascii="Calibri" w:hAnsi="Calibri" w:cs="Calibri"/>
        </w:rPr>
        <w:t xml:space="preserve"> </w:t>
      </w:r>
      <w:r w:rsidR="0035434B" w:rsidRPr="00862878">
        <w:rPr>
          <w:rFonts w:ascii="Calibri" w:hAnsi="Calibri" w:cs="Calibri"/>
        </w:rPr>
        <w:t>sufficient.</w:t>
      </w:r>
      <w:r w:rsidR="0035434B" w:rsidRPr="00461964">
        <w:rPr>
          <w:rFonts w:ascii="Calibri" w:hAnsi="Calibri" w:cs="Calibri"/>
        </w:rPr>
        <w:t xml:space="preserve"> These criteria need to include </w:t>
      </w:r>
      <w:r w:rsidR="00F044DB" w:rsidRPr="00461964">
        <w:rPr>
          <w:rFonts w:ascii="Calibri" w:hAnsi="Calibri" w:cs="Calibri"/>
        </w:rPr>
        <w:t xml:space="preserve">considerations of </w:t>
      </w:r>
      <w:r>
        <w:rPr>
          <w:rFonts w:ascii="Calibri" w:hAnsi="Calibri" w:cs="Calibri"/>
        </w:rPr>
        <w:t xml:space="preserve">the effect </w:t>
      </w:r>
      <w:r w:rsidR="00F044DB" w:rsidRPr="00461964">
        <w:rPr>
          <w:rFonts w:ascii="Calibri" w:hAnsi="Calibri" w:cs="Calibri"/>
        </w:rPr>
        <w:t xml:space="preserve">of </w:t>
      </w:r>
      <w:r w:rsidR="00583976" w:rsidRPr="00461964">
        <w:rPr>
          <w:rFonts w:ascii="Calibri" w:hAnsi="Calibri" w:cs="Calibri"/>
        </w:rPr>
        <w:t>different decision criteria</w:t>
      </w:r>
      <w:r w:rsidR="00F044DB" w:rsidRPr="00461964">
        <w:rPr>
          <w:rFonts w:ascii="Calibri" w:hAnsi="Calibri" w:cs="Calibri"/>
        </w:rPr>
        <w:t>, severity of health effects</w:t>
      </w:r>
      <w:r w:rsidR="00E53B48">
        <w:rPr>
          <w:rFonts w:ascii="Calibri" w:hAnsi="Calibri" w:cs="Calibri"/>
        </w:rPr>
        <w:t>,</w:t>
      </w:r>
      <w:r w:rsidR="00F044DB" w:rsidRPr="00461964">
        <w:rPr>
          <w:rFonts w:ascii="Calibri" w:hAnsi="Calibri" w:cs="Calibri"/>
        </w:rPr>
        <w:t xml:space="preserve"> proportion of population potentially </w:t>
      </w:r>
      <w:r w:rsidR="0023294E">
        <w:rPr>
          <w:rFonts w:ascii="Calibri" w:hAnsi="Calibri" w:cs="Calibri"/>
        </w:rPr>
        <w:t>a</w:t>
      </w:r>
      <w:r w:rsidR="00F044DB" w:rsidRPr="00461964">
        <w:rPr>
          <w:rFonts w:ascii="Calibri" w:hAnsi="Calibri" w:cs="Calibri"/>
        </w:rPr>
        <w:t xml:space="preserve">ffected and others. </w:t>
      </w:r>
      <w:r w:rsidR="00002757" w:rsidRPr="00461964">
        <w:rPr>
          <w:rFonts w:ascii="Calibri" w:hAnsi="Calibri" w:cs="Calibri"/>
        </w:rPr>
        <w:t xml:space="preserve">In </w:t>
      </w:r>
      <w:r w:rsidR="00002757" w:rsidRPr="00461964">
        <w:rPr>
          <w:rFonts w:ascii="Calibri" w:hAnsi="Calibri" w:cs="Calibri"/>
        </w:rPr>
        <w:lastRenderedPageBreak/>
        <w:t>this context it would be beneficial to develop a more systematic approach for qualitative</w:t>
      </w:r>
      <w:r w:rsidR="00774B4F" w:rsidRPr="00461964">
        <w:rPr>
          <w:rFonts w:ascii="Calibri" w:hAnsi="Calibri" w:cs="Calibri"/>
        </w:rPr>
        <w:t xml:space="preserve"> assessments, with </w:t>
      </w:r>
      <w:r>
        <w:rPr>
          <w:rFonts w:ascii="Calibri" w:hAnsi="Calibri" w:cs="Calibri"/>
        </w:rPr>
        <w:t xml:space="preserve">a </w:t>
      </w:r>
      <w:r w:rsidR="00774B4F" w:rsidRPr="00461964">
        <w:rPr>
          <w:rFonts w:ascii="Calibri" w:hAnsi="Calibri" w:cs="Calibri"/>
        </w:rPr>
        <w:t xml:space="preserve">clear description of underlying uncertainties and their consequences (e.g. overestimation of risk). </w:t>
      </w:r>
    </w:p>
    <w:p w:rsidR="0092491E" w:rsidRPr="0092491E" w:rsidRDefault="00936EA3" w:rsidP="008A3A42">
      <w:pPr>
        <w:pStyle w:val="Heading3"/>
      </w:pPr>
      <w:bookmarkStart w:id="48" w:name="_Toc322935519"/>
      <w:bookmarkStart w:id="49" w:name="_Toc332960010"/>
      <w:r>
        <w:t xml:space="preserve">6.2.2. </w:t>
      </w:r>
      <w:r w:rsidR="0092491E" w:rsidRPr="0092491E">
        <w:t xml:space="preserve">Chemical </w:t>
      </w:r>
      <w:r w:rsidR="00B56EB6">
        <w:t>r</w:t>
      </w:r>
      <w:r w:rsidR="0092491E" w:rsidRPr="0092491E">
        <w:t xml:space="preserve">isk </w:t>
      </w:r>
      <w:r w:rsidR="00B56EB6">
        <w:t>a</w:t>
      </w:r>
      <w:r w:rsidR="0092491E" w:rsidRPr="0092491E">
        <w:t>ssessments</w:t>
      </w:r>
      <w:bookmarkEnd w:id="48"/>
      <w:bookmarkEnd w:id="49"/>
    </w:p>
    <w:p w:rsidR="00757488" w:rsidRPr="00461964" w:rsidRDefault="00757488" w:rsidP="00201CE8">
      <w:pPr>
        <w:spacing w:before="100" w:beforeAutospacing="1" w:after="100" w:afterAutospacing="1" w:line="276" w:lineRule="auto"/>
        <w:rPr>
          <w:rFonts w:ascii="Calibri" w:hAnsi="Calibri" w:cs="Calibri"/>
        </w:rPr>
      </w:pPr>
      <w:r w:rsidRPr="00461964">
        <w:rPr>
          <w:rFonts w:ascii="Calibri" w:hAnsi="Calibri" w:cs="Calibri"/>
        </w:rPr>
        <w:t>Chemical risk assessments also address different needs</w:t>
      </w:r>
      <w:r w:rsidR="00E9530E">
        <w:rPr>
          <w:rFonts w:ascii="Calibri" w:hAnsi="Calibri" w:cs="Calibri"/>
        </w:rPr>
        <w:t xml:space="preserve"> </w:t>
      </w:r>
      <w:r w:rsidR="0023294E">
        <w:rPr>
          <w:rFonts w:ascii="Calibri" w:hAnsi="Calibri" w:cs="Calibri"/>
        </w:rPr>
        <w:t>and</w:t>
      </w:r>
      <w:r w:rsidRPr="00461964">
        <w:rPr>
          <w:rFonts w:ascii="Calibri" w:hAnsi="Calibri" w:cs="Calibri"/>
        </w:rPr>
        <w:t xml:space="preserve"> can contribute to more complex assessments or be the main focus of a</w:t>
      </w:r>
      <w:r w:rsidR="0041533C" w:rsidRPr="00461964">
        <w:rPr>
          <w:rFonts w:ascii="Calibri" w:hAnsi="Calibri" w:cs="Calibri"/>
        </w:rPr>
        <w:t xml:space="preserve"> specific</w:t>
      </w:r>
      <w:r w:rsidRPr="00461964">
        <w:rPr>
          <w:rFonts w:ascii="Calibri" w:hAnsi="Calibri" w:cs="Calibri"/>
        </w:rPr>
        <w:t xml:space="preserve"> assessment. </w:t>
      </w:r>
    </w:p>
    <w:p w:rsidR="00370D18" w:rsidRPr="00201CE8" w:rsidRDefault="00370D18" w:rsidP="00201CE8">
      <w:pPr>
        <w:spacing w:before="100" w:beforeAutospacing="1" w:after="100" w:afterAutospacing="1" w:line="276" w:lineRule="auto"/>
        <w:rPr>
          <w:rFonts w:ascii="Calibri" w:hAnsi="Calibri" w:cs="Calibri"/>
        </w:rPr>
      </w:pPr>
      <w:r w:rsidRPr="00201CE8">
        <w:rPr>
          <w:rFonts w:ascii="Calibri" w:hAnsi="Calibri" w:cs="Calibri"/>
        </w:rPr>
        <w:t xml:space="preserve">Chemical risk assessments assess the public health and safety risks associated with foods, ingredients of foods, contaminants in food and substances added to foods. Such assessments are required for </w:t>
      </w:r>
      <w:r w:rsidR="00B56EB6" w:rsidRPr="00201CE8">
        <w:rPr>
          <w:rFonts w:ascii="Calibri" w:hAnsi="Calibri" w:cs="Calibri"/>
        </w:rPr>
        <w:t>most</w:t>
      </w:r>
      <w:r w:rsidRPr="00201CE8">
        <w:rPr>
          <w:rFonts w:ascii="Calibri" w:hAnsi="Calibri" w:cs="Calibri"/>
        </w:rPr>
        <w:t xml:space="preserve"> applications and proposals considered by FSANZ and encompass novel foods, irradiated foods, nutritive substances, naturally-occurring toxins, food contaminants, food additives, processing aids and pesticide residues which may be present in imported </w:t>
      </w:r>
      <w:r w:rsidR="005F74B6" w:rsidRPr="00201CE8">
        <w:rPr>
          <w:rFonts w:ascii="Calibri" w:hAnsi="Calibri" w:cs="Calibri"/>
        </w:rPr>
        <w:t xml:space="preserve">genetically modified </w:t>
      </w:r>
      <w:r w:rsidRPr="00201CE8">
        <w:rPr>
          <w:rFonts w:ascii="Calibri" w:hAnsi="Calibri" w:cs="Calibri"/>
        </w:rPr>
        <w:t xml:space="preserve">foods. The risk assessments are performed by staff with a high standard of technical knowledge </w:t>
      </w:r>
      <w:proofErr w:type="gramStart"/>
      <w:r w:rsidRPr="00201CE8">
        <w:rPr>
          <w:rFonts w:ascii="Calibri" w:hAnsi="Calibri" w:cs="Calibri"/>
        </w:rPr>
        <w:t>who</w:t>
      </w:r>
      <w:proofErr w:type="gramEnd"/>
      <w:r w:rsidRPr="00201CE8">
        <w:rPr>
          <w:rFonts w:ascii="Calibri" w:hAnsi="Calibri" w:cs="Calibri"/>
        </w:rPr>
        <w:t xml:space="preserve"> also cooperate actively with regulatory and other agencies to address </w:t>
      </w:r>
      <w:r w:rsidR="00E42D21" w:rsidRPr="00201CE8">
        <w:rPr>
          <w:rFonts w:ascii="Calibri" w:hAnsi="Calibri" w:cs="Calibri"/>
        </w:rPr>
        <w:t xml:space="preserve">chemical </w:t>
      </w:r>
      <w:r w:rsidRPr="00201CE8">
        <w:rPr>
          <w:rFonts w:ascii="Calibri" w:hAnsi="Calibri" w:cs="Calibri"/>
        </w:rPr>
        <w:t>food safety issues. In addition to working with relevant groups in Australia (such as the Office of Chemical Safety, Therapeutic Goods Administration and Allergen Bureau), members of the chemical risk assessment team also participate in the work of</w:t>
      </w:r>
      <w:r w:rsidR="00D22708" w:rsidRPr="00201CE8">
        <w:rPr>
          <w:rFonts w:ascii="Calibri" w:hAnsi="Calibri" w:cs="Calibri"/>
        </w:rPr>
        <w:t xml:space="preserve"> independent</w:t>
      </w:r>
      <w:r w:rsidRPr="00201CE8">
        <w:rPr>
          <w:rFonts w:ascii="Calibri" w:hAnsi="Calibri" w:cs="Calibri"/>
        </w:rPr>
        <w:t xml:space="preserve"> international </w:t>
      </w:r>
      <w:r w:rsidR="00D22708" w:rsidRPr="00201CE8">
        <w:rPr>
          <w:rFonts w:ascii="Calibri" w:hAnsi="Calibri" w:cs="Calibri"/>
        </w:rPr>
        <w:t>scientific expert c</w:t>
      </w:r>
      <w:r w:rsidRPr="00201CE8">
        <w:rPr>
          <w:rFonts w:ascii="Calibri" w:hAnsi="Calibri" w:cs="Calibri"/>
        </w:rPr>
        <w:t>ommittees such as JECFA, JMPR, and</w:t>
      </w:r>
      <w:r w:rsidR="006804C0" w:rsidRPr="00201CE8">
        <w:rPr>
          <w:rFonts w:ascii="Calibri" w:hAnsi="Calibri" w:cs="Calibri"/>
        </w:rPr>
        <w:t xml:space="preserve"> in international research groups such as</w:t>
      </w:r>
      <w:r w:rsidRPr="00201CE8">
        <w:rPr>
          <w:rFonts w:ascii="Calibri" w:hAnsi="Calibri" w:cs="Calibri"/>
        </w:rPr>
        <w:t xml:space="preserve"> </w:t>
      </w:r>
      <w:proofErr w:type="spellStart"/>
      <w:r w:rsidRPr="00201CE8">
        <w:rPr>
          <w:rFonts w:ascii="Calibri" w:hAnsi="Calibri" w:cs="Calibri"/>
        </w:rPr>
        <w:t>Europreval</w:t>
      </w:r>
      <w:proofErr w:type="spellEnd"/>
      <w:r w:rsidRPr="00201CE8">
        <w:rPr>
          <w:rFonts w:ascii="Calibri" w:hAnsi="Calibri" w:cs="Calibri"/>
        </w:rPr>
        <w:t xml:space="preserve">. Additionally, there is also a strong commitment to contributing to the work of international groups such as </w:t>
      </w:r>
      <w:r w:rsidR="004C7B4F" w:rsidRPr="00201CE8">
        <w:rPr>
          <w:rFonts w:ascii="Calibri" w:hAnsi="Calibri" w:cs="Calibri"/>
        </w:rPr>
        <w:t xml:space="preserve">Codex, </w:t>
      </w:r>
      <w:r w:rsidRPr="00201CE8">
        <w:rPr>
          <w:rFonts w:ascii="Calibri" w:hAnsi="Calibri" w:cs="Calibri"/>
        </w:rPr>
        <w:t>ILSI and the OECD.</w:t>
      </w:r>
    </w:p>
    <w:p w:rsidR="00E42D21" w:rsidRPr="00201CE8" w:rsidRDefault="00E42D21" w:rsidP="00201CE8">
      <w:pPr>
        <w:spacing w:before="100" w:beforeAutospacing="1" w:after="100" w:afterAutospacing="1" w:line="276" w:lineRule="auto"/>
        <w:rPr>
          <w:rFonts w:ascii="Calibri" w:hAnsi="Calibri" w:cs="Calibri"/>
        </w:rPr>
      </w:pPr>
      <w:r w:rsidRPr="00201CE8">
        <w:rPr>
          <w:rFonts w:ascii="Calibri" w:hAnsi="Calibri" w:cs="Calibri"/>
        </w:rPr>
        <w:t xml:space="preserve">Chemical risk assessments are also well-structured and follow internationally accepted methods and principles. Existing international assessments are taken into account as appropriate. </w:t>
      </w:r>
    </w:p>
    <w:p w:rsidR="00C6593A" w:rsidRPr="00201CE8" w:rsidRDefault="00814A67" w:rsidP="00201CE8">
      <w:pPr>
        <w:spacing w:before="100" w:beforeAutospacing="1" w:after="100" w:afterAutospacing="1" w:line="276" w:lineRule="auto"/>
        <w:rPr>
          <w:rFonts w:ascii="Calibri" w:hAnsi="Calibri" w:cs="Calibri"/>
        </w:rPr>
      </w:pPr>
      <w:r w:rsidRPr="00201CE8">
        <w:rPr>
          <w:rFonts w:ascii="Calibri" w:hAnsi="Calibri" w:cs="Calibri"/>
        </w:rPr>
        <w:t>The s</w:t>
      </w:r>
      <w:r w:rsidR="00E42D21" w:rsidRPr="00201CE8">
        <w:rPr>
          <w:rFonts w:ascii="Calibri" w:hAnsi="Calibri" w:cs="Calibri"/>
        </w:rPr>
        <w:t xml:space="preserve">trong points </w:t>
      </w:r>
      <w:r w:rsidRPr="00201CE8">
        <w:rPr>
          <w:rFonts w:ascii="Calibri" w:hAnsi="Calibri" w:cs="Calibri"/>
        </w:rPr>
        <w:t xml:space="preserve">of FSANZ’s chemical risk assessments </w:t>
      </w:r>
      <w:r w:rsidR="00E42D21" w:rsidRPr="00201CE8">
        <w:rPr>
          <w:rFonts w:ascii="Calibri" w:hAnsi="Calibri" w:cs="Calibri"/>
        </w:rPr>
        <w:t xml:space="preserve">are the competence in house, which is well acknowledged </w:t>
      </w:r>
      <w:r w:rsidR="00B45F2B" w:rsidRPr="00201CE8">
        <w:rPr>
          <w:rFonts w:ascii="Calibri" w:hAnsi="Calibri" w:cs="Calibri"/>
        </w:rPr>
        <w:t xml:space="preserve">including </w:t>
      </w:r>
      <w:r w:rsidR="00E42D21" w:rsidRPr="00201CE8">
        <w:rPr>
          <w:rFonts w:ascii="Calibri" w:hAnsi="Calibri" w:cs="Calibri"/>
        </w:rPr>
        <w:t>in international risk assessment expert groups. The main challenge is to target the risk assessment to the needs, i.e.</w:t>
      </w:r>
      <w:r w:rsidR="00CE094D" w:rsidRPr="00201CE8">
        <w:rPr>
          <w:rFonts w:ascii="Calibri" w:hAnsi="Calibri" w:cs="Calibri"/>
        </w:rPr>
        <w:t xml:space="preserve"> the</w:t>
      </w:r>
      <w:r w:rsidR="00E42D21" w:rsidRPr="00201CE8">
        <w:rPr>
          <w:rFonts w:ascii="Calibri" w:hAnsi="Calibri" w:cs="Calibri"/>
        </w:rPr>
        <w:t xml:space="preserve"> level of detail and complexity need</w:t>
      </w:r>
      <w:r w:rsidR="00CE094D" w:rsidRPr="00201CE8">
        <w:rPr>
          <w:rFonts w:ascii="Calibri" w:hAnsi="Calibri" w:cs="Calibri"/>
        </w:rPr>
        <w:t>s</w:t>
      </w:r>
      <w:r w:rsidR="00E42D21" w:rsidRPr="00201CE8">
        <w:rPr>
          <w:rFonts w:ascii="Calibri" w:hAnsi="Calibri" w:cs="Calibri"/>
        </w:rPr>
        <w:t xml:space="preserve"> to be targeted to the scope of the public health issue and should consider international risk assessments to the extent </w:t>
      </w:r>
      <w:r w:rsidR="00B45F2B" w:rsidRPr="00201CE8">
        <w:rPr>
          <w:rFonts w:ascii="Calibri" w:hAnsi="Calibri" w:cs="Calibri"/>
        </w:rPr>
        <w:t xml:space="preserve">that these are </w:t>
      </w:r>
      <w:r w:rsidR="00E42D21" w:rsidRPr="00201CE8">
        <w:rPr>
          <w:rFonts w:ascii="Calibri" w:hAnsi="Calibri" w:cs="Calibri"/>
        </w:rPr>
        <w:t>useful.</w:t>
      </w:r>
      <w:bookmarkStart w:id="50" w:name="_Toc322935520"/>
      <w:r w:rsidR="003F0B09" w:rsidRPr="00201CE8">
        <w:rPr>
          <w:rFonts w:ascii="Calibri" w:hAnsi="Calibri" w:cs="Calibri"/>
        </w:rPr>
        <w:t xml:space="preserve"> Another challenge is the initial and continued training of staff.</w:t>
      </w:r>
    </w:p>
    <w:p w:rsidR="002E17CE" w:rsidRDefault="00936EA3" w:rsidP="008A3A42">
      <w:pPr>
        <w:pStyle w:val="Heading3"/>
      </w:pPr>
      <w:bookmarkStart w:id="51" w:name="_Toc332960011"/>
      <w:r>
        <w:t xml:space="preserve">6.2.3. </w:t>
      </w:r>
      <w:r w:rsidR="005D523C">
        <w:t xml:space="preserve">Genetically </w:t>
      </w:r>
      <w:r w:rsidR="00B45F2B">
        <w:t>m</w:t>
      </w:r>
      <w:r w:rsidR="005D523C">
        <w:t xml:space="preserve">odified </w:t>
      </w:r>
      <w:r w:rsidR="00B45F2B">
        <w:t>o</w:t>
      </w:r>
      <w:r w:rsidR="005D523C">
        <w:t>rganisms (and products thereof)</w:t>
      </w:r>
      <w:bookmarkEnd w:id="50"/>
      <w:bookmarkEnd w:id="51"/>
      <w:r w:rsidR="00EC10FA">
        <w:t xml:space="preserve"> </w:t>
      </w:r>
    </w:p>
    <w:p w:rsidR="00370D18" w:rsidRPr="00201CE8" w:rsidRDefault="00370D18" w:rsidP="00201CE8">
      <w:pPr>
        <w:spacing w:before="100" w:beforeAutospacing="1" w:after="100" w:afterAutospacing="1" w:line="276" w:lineRule="auto"/>
        <w:rPr>
          <w:rFonts w:ascii="Calibri" w:hAnsi="Calibri" w:cs="Calibri"/>
        </w:rPr>
      </w:pPr>
      <w:r w:rsidRPr="00201CE8">
        <w:rPr>
          <w:rFonts w:ascii="Calibri" w:hAnsi="Calibri" w:cs="Calibri"/>
        </w:rPr>
        <w:t xml:space="preserve">FSANZ </w:t>
      </w:r>
      <w:r w:rsidR="00B45F2B" w:rsidRPr="00201CE8">
        <w:rPr>
          <w:rFonts w:ascii="Calibri" w:hAnsi="Calibri" w:cs="Calibri"/>
        </w:rPr>
        <w:t xml:space="preserve">is responsible </w:t>
      </w:r>
      <w:r w:rsidRPr="00201CE8">
        <w:rPr>
          <w:rFonts w:ascii="Calibri" w:hAnsi="Calibri" w:cs="Calibri"/>
        </w:rPr>
        <w:t xml:space="preserve">for assessing food (including food additives and processing aids) derived from GM organisms. This has been part of Australia’s and New Zealand’s food regulation requirements since 1999. </w:t>
      </w:r>
      <w:r w:rsidR="007F43EF" w:rsidRPr="00201CE8">
        <w:rPr>
          <w:rFonts w:ascii="Calibri" w:hAnsi="Calibri" w:cs="Calibri"/>
        </w:rPr>
        <w:t xml:space="preserve">A number of GM plants have been approved, and </w:t>
      </w:r>
      <w:r w:rsidRPr="00201CE8">
        <w:rPr>
          <w:rFonts w:ascii="Calibri" w:hAnsi="Calibri" w:cs="Calibri"/>
        </w:rPr>
        <w:t xml:space="preserve">over one third </w:t>
      </w:r>
      <w:r w:rsidR="007F43EF" w:rsidRPr="00201CE8">
        <w:rPr>
          <w:rFonts w:ascii="Calibri" w:hAnsi="Calibri" w:cs="Calibri"/>
        </w:rPr>
        <w:t xml:space="preserve">of enzymes approved for food use </w:t>
      </w:r>
      <w:r w:rsidRPr="00201CE8">
        <w:rPr>
          <w:rFonts w:ascii="Calibri" w:hAnsi="Calibri" w:cs="Calibri"/>
        </w:rPr>
        <w:t>are now derived from GM microorganisms. To date there have been no approvals for food derived from GM animals.</w:t>
      </w:r>
    </w:p>
    <w:p w:rsidR="00370D18" w:rsidRPr="00201CE8" w:rsidRDefault="00370D18" w:rsidP="00201CE8">
      <w:pPr>
        <w:spacing w:before="100" w:beforeAutospacing="1" w:after="100" w:afterAutospacing="1" w:line="276" w:lineRule="auto"/>
        <w:rPr>
          <w:rFonts w:ascii="Calibri" w:hAnsi="Calibri" w:cs="Calibri"/>
        </w:rPr>
      </w:pPr>
      <w:r w:rsidRPr="00201CE8">
        <w:rPr>
          <w:rFonts w:ascii="Calibri" w:hAnsi="Calibri" w:cs="Calibri"/>
        </w:rPr>
        <w:t>Regulatory oversight for growing GM crops in Australia is administered though the Office of the Gene Technology Regulator (OGTR) and there is a close working relations</w:t>
      </w:r>
      <w:r w:rsidR="007F43EF" w:rsidRPr="00201CE8">
        <w:rPr>
          <w:rFonts w:ascii="Calibri" w:hAnsi="Calibri" w:cs="Calibri"/>
        </w:rPr>
        <w:t>hip between FSANZ and the OGTR.</w:t>
      </w:r>
      <w:r w:rsidR="00CA0C7B" w:rsidRPr="00201CE8">
        <w:rPr>
          <w:rFonts w:ascii="Calibri" w:hAnsi="Calibri" w:cs="Calibri"/>
        </w:rPr>
        <w:t xml:space="preserve"> In New Zealand, similar functions are undertaken by the Environmental Protection Authority, under the Hazardous Substances and New Organisms (HSNO) Act 1996.</w:t>
      </w:r>
    </w:p>
    <w:p w:rsidR="00370D18" w:rsidRPr="00201CE8" w:rsidRDefault="00370D18" w:rsidP="00201CE8">
      <w:pPr>
        <w:spacing w:before="100" w:beforeAutospacing="1" w:after="100" w:afterAutospacing="1" w:line="276" w:lineRule="auto"/>
        <w:rPr>
          <w:rFonts w:ascii="Calibri" w:hAnsi="Calibri" w:cs="Calibri"/>
        </w:rPr>
      </w:pPr>
      <w:r w:rsidRPr="00201CE8">
        <w:rPr>
          <w:rFonts w:ascii="Calibri" w:hAnsi="Calibri" w:cs="Calibri"/>
        </w:rPr>
        <w:lastRenderedPageBreak/>
        <w:t xml:space="preserve">The methods and approach used by FSANZ for the safety assessment of GM food are consistent with international guidelines developed by the </w:t>
      </w:r>
      <w:r w:rsidR="00B20BDC" w:rsidRPr="00201CE8">
        <w:rPr>
          <w:rFonts w:ascii="Calibri" w:hAnsi="Calibri" w:cs="Calibri"/>
        </w:rPr>
        <w:t>WHO</w:t>
      </w:r>
      <w:r w:rsidRPr="00201CE8">
        <w:rPr>
          <w:rFonts w:ascii="Calibri" w:hAnsi="Calibri" w:cs="Calibri"/>
        </w:rPr>
        <w:t xml:space="preserve">, </w:t>
      </w:r>
      <w:r w:rsidR="00B20BDC" w:rsidRPr="00201CE8">
        <w:rPr>
          <w:rFonts w:ascii="Calibri" w:hAnsi="Calibri" w:cs="Calibri"/>
        </w:rPr>
        <w:t xml:space="preserve">FAO </w:t>
      </w:r>
      <w:r w:rsidRPr="00201CE8">
        <w:rPr>
          <w:rFonts w:ascii="Calibri" w:hAnsi="Calibri" w:cs="Calibri"/>
        </w:rPr>
        <w:t>and the Organisation for Economic Co-operation and Development</w:t>
      </w:r>
      <w:r w:rsidR="00B20BDC" w:rsidRPr="00201CE8">
        <w:rPr>
          <w:rFonts w:ascii="Calibri" w:hAnsi="Calibri" w:cs="Calibri"/>
        </w:rPr>
        <w:t xml:space="preserve"> (OECD)</w:t>
      </w:r>
      <w:r w:rsidRPr="00201CE8">
        <w:rPr>
          <w:rFonts w:ascii="Calibri" w:hAnsi="Calibri" w:cs="Calibri"/>
        </w:rPr>
        <w:t>. In line with these guidelines, the safety assessment of GM processing aids (which include enzymes) and additives is considered separately from the safety assessment of o</w:t>
      </w:r>
      <w:r w:rsidR="00F15987" w:rsidRPr="00201CE8">
        <w:rPr>
          <w:rFonts w:ascii="Calibri" w:hAnsi="Calibri" w:cs="Calibri"/>
        </w:rPr>
        <w:t>ther GM foods and food products</w:t>
      </w:r>
      <w:r w:rsidR="00B20BDC" w:rsidRPr="00201CE8">
        <w:rPr>
          <w:rFonts w:ascii="Calibri" w:hAnsi="Calibri" w:cs="Calibri"/>
        </w:rPr>
        <w:t>. A recent improvement</w:t>
      </w:r>
      <w:r w:rsidRPr="00201CE8">
        <w:rPr>
          <w:rFonts w:ascii="Calibri" w:hAnsi="Calibri" w:cs="Calibri"/>
        </w:rPr>
        <w:t xml:space="preserve"> </w:t>
      </w:r>
      <w:r w:rsidR="00B20BDC" w:rsidRPr="00201CE8">
        <w:rPr>
          <w:rFonts w:ascii="Calibri" w:hAnsi="Calibri" w:cs="Calibri"/>
        </w:rPr>
        <w:t>is the streamlining of</w:t>
      </w:r>
      <w:r w:rsidRPr="00201CE8">
        <w:rPr>
          <w:rFonts w:ascii="Calibri" w:hAnsi="Calibri" w:cs="Calibri"/>
        </w:rPr>
        <w:t xml:space="preserve"> the data requirements for GM processing aids so that there is consistency with the requirements for the protein characterisation component of the safety assessment of food derived from GM crops. </w:t>
      </w:r>
    </w:p>
    <w:p w:rsidR="00370D18" w:rsidRPr="00201CE8" w:rsidRDefault="00370D18" w:rsidP="00201CE8">
      <w:pPr>
        <w:spacing w:before="100" w:beforeAutospacing="1" w:after="100" w:afterAutospacing="1" w:line="276" w:lineRule="auto"/>
        <w:rPr>
          <w:rFonts w:ascii="Calibri" w:hAnsi="Calibri" w:cs="Calibri"/>
        </w:rPr>
      </w:pPr>
      <w:r w:rsidRPr="00201CE8">
        <w:rPr>
          <w:rFonts w:ascii="Calibri" w:hAnsi="Calibri" w:cs="Calibri"/>
        </w:rPr>
        <w:t xml:space="preserve">The data requirements for applications are clearly stated in the FSANZ Application Handbook. </w:t>
      </w:r>
      <w:r w:rsidR="00AF02BA" w:rsidRPr="00201CE8">
        <w:rPr>
          <w:rFonts w:ascii="Calibri" w:hAnsi="Calibri" w:cs="Calibri"/>
        </w:rPr>
        <w:t>Submitted</w:t>
      </w:r>
      <w:r w:rsidRPr="00201CE8">
        <w:rPr>
          <w:rFonts w:ascii="Calibri" w:hAnsi="Calibri" w:cs="Calibri"/>
        </w:rPr>
        <w:t xml:space="preserve"> data</w:t>
      </w:r>
      <w:r w:rsidR="00AF02BA" w:rsidRPr="00201CE8">
        <w:rPr>
          <w:rFonts w:ascii="Calibri" w:hAnsi="Calibri" w:cs="Calibri"/>
        </w:rPr>
        <w:t xml:space="preserve">, together with information from the scientific literature, other applications and other government agencies, </w:t>
      </w:r>
      <w:r w:rsidRPr="00201CE8">
        <w:rPr>
          <w:rFonts w:ascii="Calibri" w:hAnsi="Calibri" w:cs="Calibri"/>
        </w:rPr>
        <w:t xml:space="preserve">are assessed by FSANZ staff with expertise in molecular biology, toxicology, allergenicity and human nutrition. </w:t>
      </w:r>
      <w:r w:rsidR="00AF02BA" w:rsidRPr="00201CE8">
        <w:rPr>
          <w:rFonts w:ascii="Calibri" w:hAnsi="Calibri" w:cs="Calibri"/>
        </w:rPr>
        <w:t>In addition to the public review process, d</w:t>
      </w:r>
      <w:r w:rsidR="00882E1D" w:rsidRPr="00201CE8">
        <w:rPr>
          <w:rFonts w:ascii="Calibri" w:hAnsi="Calibri" w:cs="Calibri"/>
        </w:rPr>
        <w:t>raft</w:t>
      </w:r>
      <w:r w:rsidRPr="00201CE8">
        <w:rPr>
          <w:rFonts w:ascii="Calibri" w:hAnsi="Calibri" w:cs="Calibri"/>
        </w:rPr>
        <w:t xml:space="preserve"> assessments may be sent to experts outside FSANZ for review. </w:t>
      </w:r>
    </w:p>
    <w:p w:rsidR="002E17CE" w:rsidRPr="002E17CE" w:rsidRDefault="00936EA3" w:rsidP="008A3A42">
      <w:pPr>
        <w:pStyle w:val="Heading3"/>
      </w:pPr>
      <w:bookmarkStart w:id="52" w:name="_Toc322935521"/>
      <w:bookmarkStart w:id="53" w:name="_Toc332960012"/>
      <w:r>
        <w:t xml:space="preserve">6.2.4. </w:t>
      </w:r>
      <w:r w:rsidR="002E17CE" w:rsidRPr="002E17CE">
        <w:t xml:space="preserve">Production </w:t>
      </w:r>
      <w:r w:rsidR="004C26D4">
        <w:t>p</w:t>
      </w:r>
      <w:r w:rsidR="002E17CE" w:rsidRPr="002E17CE">
        <w:t>rocess</w:t>
      </w:r>
      <w:bookmarkEnd w:id="52"/>
      <w:bookmarkEnd w:id="53"/>
    </w:p>
    <w:p w:rsidR="00744F64" w:rsidRPr="00A05E51" w:rsidRDefault="002E17CE" w:rsidP="00201CE8">
      <w:pPr>
        <w:spacing w:before="100" w:beforeAutospacing="1" w:after="100" w:afterAutospacing="1" w:line="276" w:lineRule="auto"/>
        <w:rPr>
          <w:rFonts w:ascii="Calibri" w:hAnsi="Calibri" w:cs="Calibri"/>
        </w:rPr>
      </w:pPr>
      <w:r w:rsidRPr="00461964">
        <w:rPr>
          <w:rFonts w:ascii="Calibri" w:hAnsi="Calibri" w:cs="Calibri"/>
        </w:rPr>
        <w:t xml:space="preserve">This work area currently focusses </w:t>
      </w:r>
      <w:r w:rsidR="008735E7" w:rsidRPr="00461964">
        <w:rPr>
          <w:rFonts w:ascii="Calibri" w:hAnsi="Calibri" w:cs="Calibri"/>
        </w:rPr>
        <w:t xml:space="preserve">mainly </w:t>
      </w:r>
      <w:r w:rsidR="003F41F3" w:rsidRPr="00461964">
        <w:rPr>
          <w:rFonts w:ascii="Calibri" w:hAnsi="Calibri" w:cs="Calibri"/>
        </w:rPr>
        <w:t>on BSE</w:t>
      </w:r>
      <w:r w:rsidR="00B17984">
        <w:rPr>
          <w:rFonts w:ascii="Calibri" w:hAnsi="Calibri" w:cs="Calibri"/>
        </w:rPr>
        <w:t xml:space="preserve"> and is an Australia only function</w:t>
      </w:r>
      <w:r w:rsidR="003F41F3" w:rsidRPr="00461964">
        <w:rPr>
          <w:rFonts w:ascii="Calibri" w:hAnsi="Calibri" w:cs="Calibri"/>
        </w:rPr>
        <w:t>.</w:t>
      </w:r>
      <w:r w:rsidRPr="00461964">
        <w:rPr>
          <w:rFonts w:ascii="Calibri" w:hAnsi="Calibri" w:cs="Calibri"/>
        </w:rPr>
        <w:t xml:space="preserve"> </w:t>
      </w:r>
      <w:r w:rsidR="003F41F3" w:rsidRPr="00461964">
        <w:rPr>
          <w:rFonts w:ascii="Calibri" w:hAnsi="Calibri" w:cs="Calibri"/>
        </w:rPr>
        <w:t>C</w:t>
      </w:r>
      <w:r w:rsidR="008735E7" w:rsidRPr="00461964">
        <w:rPr>
          <w:rFonts w:ascii="Calibri" w:hAnsi="Calibri" w:cs="Calibri"/>
        </w:rPr>
        <w:t>ountry (geographical) risks are being established</w:t>
      </w:r>
      <w:r w:rsidR="006C0567" w:rsidRPr="00461964">
        <w:rPr>
          <w:rFonts w:ascii="Calibri" w:hAnsi="Calibri" w:cs="Calibri"/>
        </w:rPr>
        <w:t xml:space="preserve"> through </w:t>
      </w:r>
      <w:r w:rsidRPr="00461964">
        <w:rPr>
          <w:rFonts w:ascii="Calibri" w:hAnsi="Calibri" w:cs="Calibri"/>
        </w:rPr>
        <w:t xml:space="preserve">country </w:t>
      </w:r>
      <w:r w:rsidR="008735E7" w:rsidRPr="00461964">
        <w:rPr>
          <w:rFonts w:ascii="Calibri" w:hAnsi="Calibri" w:cs="Calibri"/>
        </w:rPr>
        <w:t>validation and inspection</w:t>
      </w:r>
      <w:r w:rsidR="00770B27" w:rsidRPr="00461964">
        <w:rPr>
          <w:rFonts w:ascii="Calibri" w:hAnsi="Calibri" w:cs="Calibri"/>
        </w:rPr>
        <w:t>, following approaches applied by other national or regional authorities</w:t>
      </w:r>
      <w:r w:rsidRPr="00461964">
        <w:rPr>
          <w:rFonts w:ascii="Calibri" w:hAnsi="Calibri" w:cs="Calibri"/>
        </w:rPr>
        <w:t xml:space="preserve">. </w:t>
      </w:r>
      <w:r w:rsidR="00E3447C" w:rsidRPr="00461964">
        <w:rPr>
          <w:rFonts w:ascii="Calibri" w:hAnsi="Calibri" w:cs="Calibri"/>
        </w:rPr>
        <w:t xml:space="preserve">Some other aspects of zoonotic risks are </w:t>
      </w:r>
      <w:r w:rsidR="006C0567" w:rsidRPr="00461964">
        <w:rPr>
          <w:rFonts w:ascii="Calibri" w:hAnsi="Calibri" w:cs="Calibri"/>
        </w:rPr>
        <w:t xml:space="preserve">also </w:t>
      </w:r>
      <w:r w:rsidR="00E3447C" w:rsidRPr="00461964">
        <w:rPr>
          <w:rFonts w:ascii="Calibri" w:hAnsi="Calibri" w:cs="Calibri"/>
        </w:rPr>
        <w:t>being covered.</w:t>
      </w:r>
      <w:r w:rsidR="006C0567" w:rsidRPr="00461964">
        <w:rPr>
          <w:rFonts w:ascii="Calibri" w:hAnsi="Calibri" w:cs="Calibri"/>
        </w:rPr>
        <w:t xml:space="preserve"> This risk assessment work</w:t>
      </w:r>
      <w:r w:rsidR="005903E1" w:rsidRPr="00461964">
        <w:rPr>
          <w:rFonts w:ascii="Calibri" w:hAnsi="Calibri" w:cs="Calibri"/>
        </w:rPr>
        <w:t xml:space="preserve"> represents a separate and specific area and is therefore </w:t>
      </w:r>
      <w:r w:rsidR="006C0567" w:rsidRPr="00461964">
        <w:rPr>
          <w:rFonts w:ascii="Calibri" w:hAnsi="Calibri" w:cs="Calibri"/>
        </w:rPr>
        <w:t>less integrated in the other risk assessment areas</w:t>
      </w:r>
      <w:r w:rsidR="005903E1" w:rsidRPr="00461964">
        <w:rPr>
          <w:rFonts w:ascii="Calibri" w:hAnsi="Calibri" w:cs="Calibri"/>
        </w:rPr>
        <w:t>.</w:t>
      </w:r>
      <w:r w:rsidR="006C0567" w:rsidRPr="00461964">
        <w:rPr>
          <w:rFonts w:ascii="Calibri" w:hAnsi="Calibri" w:cs="Calibri"/>
        </w:rPr>
        <w:t xml:space="preserve"> </w:t>
      </w:r>
      <w:r w:rsidR="005903E1" w:rsidRPr="00461964">
        <w:rPr>
          <w:rFonts w:ascii="Calibri" w:hAnsi="Calibri" w:cs="Calibri"/>
        </w:rPr>
        <w:t xml:space="preserve">It </w:t>
      </w:r>
      <w:r w:rsidR="006C0567" w:rsidRPr="00461964">
        <w:rPr>
          <w:rFonts w:ascii="Calibri" w:hAnsi="Calibri" w:cs="Calibri"/>
        </w:rPr>
        <w:t>was not considered in further detail in this review.</w:t>
      </w:r>
    </w:p>
    <w:p w:rsidR="004F148B" w:rsidRDefault="00936EA3" w:rsidP="008A3A42">
      <w:pPr>
        <w:pStyle w:val="Heading3"/>
      </w:pPr>
      <w:bookmarkStart w:id="54" w:name="_Toc322935522"/>
      <w:bookmarkStart w:id="55" w:name="_Toc332960013"/>
      <w:r>
        <w:t xml:space="preserve">6.2.5. </w:t>
      </w:r>
      <w:r w:rsidR="004F148B">
        <w:t xml:space="preserve">Public Health </w:t>
      </w:r>
      <w:r w:rsidR="004F148B" w:rsidRPr="00105FEF">
        <w:t>Nutrition</w:t>
      </w:r>
      <w:bookmarkEnd w:id="54"/>
      <w:bookmarkEnd w:id="55"/>
    </w:p>
    <w:p w:rsidR="004F148B" w:rsidRPr="00461964" w:rsidRDefault="00C6593A" w:rsidP="00201CE8">
      <w:pPr>
        <w:spacing w:before="100" w:beforeAutospacing="1" w:after="100" w:afterAutospacing="1" w:line="276" w:lineRule="auto"/>
        <w:rPr>
          <w:rFonts w:ascii="Calibri" w:hAnsi="Calibri" w:cs="Calibri"/>
        </w:rPr>
      </w:pPr>
      <w:bookmarkStart w:id="56" w:name="_Toc322935523"/>
      <w:r>
        <w:rPr>
          <w:rFonts w:ascii="Calibri" w:hAnsi="Calibri" w:cs="Calibri"/>
        </w:rPr>
        <w:t xml:space="preserve">At FSANZ, like at other </w:t>
      </w:r>
      <w:r w:rsidR="00F42E86">
        <w:rPr>
          <w:rFonts w:ascii="Calibri" w:hAnsi="Calibri" w:cs="Calibri"/>
        </w:rPr>
        <w:t>auth</w:t>
      </w:r>
      <w:r w:rsidR="0069200E">
        <w:rPr>
          <w:rFonts w:ascii="Calibri" w:hAnsi="Calibri" w:cs="Calibri"/>
        </w:rPr>
        <w:t>orities</w:t>
      </w:r>
      <w:r>
        <w:rPr>
          <w:rFonts w:ascii="Calibri" w:hAnsi="Calibri" w:cs="Calibri"/>
        </w:rPr>
        <w:t>, t</w:t>
      </w:r>
      <w:r w:rsidR="004F148B" w:rsidRPr="00461964">
        <w:rPr>
          <w:rFonts w:ascii="Calibri" w:hAnsi="Calibri" w:cs="Calibri"/>
        </w:rPr>
        <w:t xml:space="preserve">his area has changed from classical nutrition aspects, pure safety aspects such as micronutrient excess or deficiency, to a more public health approach. This is partially driven by the discussion </w:t>
      </w:r>
      <w:r w:rsidR="004C26D4">
        <w:rPr>
          <w:rFonts w:ascii="Calibri" w:hAnsi="Calibri" w:cs="Calibri"/>
        </w:rPr>
        <w:t xml:space="preserve">about </w:t>
      </w:r>
      <w:r w:rsidR="004F148B" w:rsidRPr="00461964">
        <w:rPr>
          <w:rFonts w:ascii="Calibri" w:hAnsi="Calibri" w:cs="Calibri"/>
        </w:rPr>
        <w:t xml:space="preserve">health claims, but also by increasing problems of non-communicable diseases such as obesity and diabetes. </w:t>
      </w:r>
      <w:r w:rsidR="00542453">
        <w:rPr>
          <w:rFonts w:ascii="Calibri" w:hAnsi="Calibri" w:cs="Calibri"/>
        </w:rPr>
        <w:t>As a</w:t>
      </w:r>
      <w:r w:rsidR="00542453" w:rsidRPr="00461964">
        <w:rPr>
          <w:rFonts w:ascii="Calibri" w:hAnsi="Calibri" w:cs="Calibri"/>
        </w:rPr>
        <w:t xml:space="preserve"> </w:t>
      </w:r>
      <w:r w:rsidR="004F148B" w:rsidRPr="00461964">
        <w:rPr>
          <w:rFonts w:ascii="Calibri" w:hAnsi="Calibri" w:cs="Calibri"/>
        </w:rPr>
        <w:t xml:space="preserve">consequence more epidemiological and statistical expertise is needed in such assessments, and approaches and principles are less </w:t>
      </w:r>
      <w:r w:rsidR="00770B27" w:rsidRPr="00461964">
        <w:rPr>
          <w:rFonts w:ascii="Calibri" w:hAnsi="Calibri" w:cs="Calibri"/>
        </w:rPr>
        <w:t>well established</w:t>
      </w:r>
      <w:r w:rsidR="004F148B" w:rsidRPr="00461964">
        <w:rPr>
          <w:rFonts w:ascii="Calibri" w:hAnsi="Calibri" w:cs="Calibri"/>
        </w:rPr>
        <w:t xml:space="preserve"> at this point</w:t>
      </w:r>
      <w:r w:rsidR="00770B27" w:rsidRPr="00461964">
        <w:rPr>
          <w:rFonts w:ascii="Calibri" w:hAnsi="Calibri" w:cs="Calibri"/>
        </w:rPr>
        <w:t xml:space="preserve"> as compared with </w:t>
      </w:r>
      <w:r w:rsidR="00E14D52" w:rsidRPr="00461964">
        <w:rPr>
          <w:rFonts w:ascii="Calibri" w:hAnsi="Calibri" w:cs="Calibri"/>
        </w:rPr>
        <w:t>other risk assessment areas</w:t>
      </w:r>
      <w:r w:rsidR="004F148B" w:rsidRPr="00461964">
        <w:rPr>
          <w:rFonts w:ascii="Calibri" w:hAnsi="Calibri" w:cs="Calibri"/>
        </w:rPr>
        <w:t>.</w:t>
      </w:r>
      <w:bookmarkEnd w:id="56"/>
      <w:r w:rsidR="004F148B" w:rsidRPr="00461964">
        <w:rPr>
          <w:rFonts w:ascii="Calibri" w:hAnsi="Calibri" w:cs="Calibri"/>
        </w:rPr>
        <w:t xml:space="preserve">  </w:t>
      </w:r>
    </w:p>
    <w:p w:rsidR="00E14D52" w:rsidRPr="00461964" w:rsidRDefault="004F148B" w:rsidP="00201CE8">
      <w:pPr>
        <w:spacing w:before="100" w:beforeAutospacing="1" w:after="100" w:afterAutospacing="1" w:line="276" w:lineRule="auto"/>
        <w:rPr>
          <w:rFonts w:ascii="Calibri" w:hAnsi="Calibri" w:cs="Calibri"/>
        </w:rPr>
      </w:pPr>
      <w:bookmarkStart w:id="57" w:name="_Toc322935524"/>
      <w:r w:rsidRPr="00461964">
        <w:rPr>
          <w:rFonts w:ascii="Calibri" w:hAnsi="Calibri" w:cs="Calibri"/>
        </w:rPr>
        <w:t>Overall</w:t>
      </w:r>
      <w:r w:rsidR="00CE094D">
        <w:rPr>
          <w:rFonts w:ascii="Calibri" w:hAnsi="Calibri" w:cs="Calibri"/>
        </w:rPr>
        <w:t>,</w:t>
      </w:r>
      <w:r w:rsidRPr="00461964">
        <w:rPr>
          <w:rFonts w:ascii="Calibri" w:hAnsi="Calibri" w:cs="Calibri"/>
        </w:rPr>
        <w:t xml:space="preserve"> this area is in transition, with less clear developed international approaches and guidance, as well as less practical experience</w:t>
      </w:r>
      <w:r w:rsidR="00EC437F" w:rsidRPr="00461964">
        <w:rPr>
          <w:rFonts w:ascii="Calibri" w:hAnsi="Calibri" w:cs="Calibri"/>
        </w:rPr>
        <w:t xml:space="preserve"> as compared</w:t>
      </w:r>
      <w:r w:rsidR="00CE094D">
        <w:rPr>
          <w:rFonts w:ascii="Calibri" w:hAnsi="Calibri" w:cs="Calibri"/>
        </w:rPr>
        <w:t>,</w:t>
      </w:r>
      <w:r w:rsidR="00EC437F" w:rsidRPr="00461964">
        <w:rPr>
          <w:rFonts w:ascii="Calibri" w:hAnsi="Calibri" w:cs="Calibri"/>
        </w:rPr>
        <w:t xml:space="preserve"> for example</w:t>
      </w:r>
      <w:r w:rsidR="00CE094D">
        <w:rPr>
          <w:rFonts w:ascii="Calibri" w:hAnsi="Calibri" w:cs="Calibri"/>
        </w:rPr>
        <w:t>,</w:t>
      </w:r>
      <w:r w:rsidR="00EC437F" w:rsidRPr="00461964">
        <w:rPr>
          <w:rFonts w:ascii="Calibri" w:hAnsi="Calibri" w:cs="Calibri"/>
        </w:rPr>
        <w:t xml:space="preserve"> with chemical risk assessment</w:t>
      </w:r>
      <w:r w:rsidR="009A62C2" w:rsidRPr="00461964">
        <w:rPr>
          <w:rFonts w:ascii="Calibri" w:hAnsi="Calibri" w:cs="Calibri"/>
        </w:rPr>
        <w:t xml:space="preserve">. </w:t>
      </w:r>
      <w:r w:rsidR="003F0B09">
        <w:rPr>
          <w:rFonts w:ascii="Calibri" w:hAnsi="Calibri" w:cs="Calibri"/>
        </w:rPr>
        <w:t>FSANZ</w:t>
      </w:r>
      <w:r w:rsidR="00867C32" w:rsidRPr="00461964">
        <w:rPr>
          <w:rFonts w:ascii="Calibri" w:hAnsi="Calibri" w:cs="Calibri"/>
        </w:rPr>
        <w:t xml:space="preserve"> is taking a systematic approach to this </w:t>
      </w:r>
      <w:r w:rsidR="00CE094D">
        <w:rPr>
          <w:rFonts w:ascii="Calibri" w:hAnsi="Calibri" w:cs="Calibri"/>
        </w:rPr>
        <w:t xml:space="preserve">area </w:t>
      </w:r>
      <w:r w:rsidR="00E14D52" w:rsidRPr="00461964">
        <w:rPr>
          <w:rFonts w:ascii="Calibri" w:hAnsi="Calibri" w:cs="Calibri"/>
        </w:rPr>
        <w:t>applying international risk analysis principles and is rapidly advancing in these aspects.</w:t>
      </w:r>
    </w:p>
    <w:p w:rsidR="00EC437F" w:rsidRDefault="009A62C2" w:rsidP="00201CE8">
      <w:pPr>
        <w:spacing w:before="100" w:beforeAutospacing="1" w:after="100" w:afterAutospacing="1" w:line="276" w:lineRule="auto"/>
        <w:rPr>
          <w:rFonts w:ascii="Calibri" w:hAnsi="Calibri" w:cs="Calibri"/>
        </w:rPr>
      </w:pPr>
      <w:bookmarkStart w:id="58" w:name="_Toc322935525"/>
      <w:bookmarkEnd w:id="57"/>
      <w:r w:rsidRPr="00461964">
        <w:rPr>
          <w:rFonts w:ascii="Calibri" w:hAnsi="Calibri" w:cs="Calibri"/>
        </w:rPr>
        <w:t xml:space="preserve">Strong points are the detailed literature </w:t>
      </w:r>
      <w:r w:rsidR="00EC437F" w:rsidRPr="00461964">
        <w:rPr>
          <w:rFonts w:ascii="Calibri" w:hAnsi="Calibri" w:cs="Calibri"/>
        </w:rPr>
        <w:t>search and systematic review</w:t>
      </w:r>
      <w:r w:rsidRPr="00461964">
        <w:rPr>
          <w:rFonts w:ascii="Calibri" w:hAnsi="Calibri" w:cs="Calibri"/>
        </w:rPr>
        <w:t>s with</w:t>
      </w:r>
      <w:r w:rsidR="00EC437F" w:rsidRPr="00461964">
        <w:rPr>
          <w:rFonts w:ascii="Calibri" w:hAnsi="Calibri" w:cs="Calibri"/>
        </w:rPr>
        <w:t xml:space="preserve"> grading of </w:t>
      </w:r>
      <w:r w:rsidRPr="00461964">
        <w:rPr>
          <w:rFonts w:ascii="Calibri" w:hAnsi="Calibri" w:cs="Calibri"/>
        </w:rPr>
        <w:t xml:space="preserve">the </w:t>
      </w:r>
      <w:r w:rsidR="00EC437F" w:rsidRPr="00461964">
        <w:rPr>
          <w:rFonts w:ascii="Calibri" w:hAnsi="Calibri" w:cs="Calibri"/>
        </w:rPr>
        <w:t>evidence</w:t>
      </w:r>
      <w:r w:rsidRPr="00461964">
        <w:rPr>
          <w:rFonts w:ascii="Calibri" w:hAnsi="Calibri" w:cs="Calibri"/>
        </w:rPr>
        <w:t xml:space="preserve">, which is </w:t>
      </w:r>
      <w:r w:rsidR="00EC437F" w:rsidRPr="00461964">
        <w:rPr>
          <w:rFonts w:ascii="Calibri" w:hAnsi="Calibri" w:cs="Calibri"/>
        </w:rPr>
        <w:t>well documented in</w:t>
      </w:r>
      <w:r w:rsidRPr="00461964">
        <w:rPr>
          <w:rFonts w:ascii="Calibri" w:hAnsi="Calibri" w:cs="Calibri"/>
        </w:rPr>
        <w:t xml:space="preserve"> the</w:t>
      </w:r>
      <w:r w:rsidR="00EC437F" w:rsidRPr="00461964">
        <w:rPr>
          <w:rFonts w:ascii="Calibri" w:hAnsi="Calibri" w:cs="Calibri"/>
        </w:rPr>
        <w:t xml:space="preserve"> report</w:t>
      </w:r>
      <w:r w:rsidRPr="00461964">
        <w:rPr>
          <w:rFonts w:ascii="Calibri" w:hAnsi="Calibri" w:cs="Calibri"/>
        </w:rPr>
        <w:t xml:space="preserve">s. </w:t>
      </w:r>
      <w:r w:rsidR="00027E27" w:rsidRPr="00461964">
        <w:rPr>
          <w:rFonts w:ascii="Calibri" w:hAnsi="Calibri" w:cs="Calibri"/>
        </w:rPr>
        <w:t xml:space="preserve">This systematic approach for evidence-based decision making is being discussed and more systematically implemented in many different organizations and authorities. </w:t>
      </w:r>
      <w:r w:rsidR="004C26D4">
        <w:rPr>
          <w:rFonts w:ascii="Calibri" w:hAnsi="Calibri" w:cs="Calibri"/>
        </w:rPr>
        <w:t>While these approaches are t</w:t>
      </w:r>
      <w:r w:rsidR="00867C32" w:rsidRPr="00461964">
        <w:rPr>
          <w:rFonts w:ascii="Calibri" w:hAnsi="Calibri" w:cs="Calibri"/>
        </w:rPr>
        <w:t xml:space="preserve">raditionally applied more to </w:t>
      </w:r>
      <w:r w:rsidR="00CA66C8">
        <w:rPr>
          <w:rFonts w:ascii="Calibri" w:hAnsi="Calibri" w:cs="Calibri"/>
        </w:rPr>
        <w:t xml:space="preserve">evaluating the </w:t>
      </w:r>
      <w:r w:rsidR="00867C32" w:rsidRPr="00461964">
        <w:rPr>
          <w:rFonts w:ascii="Calibri" w:hAnsi="Calibri" w:cs="Calibri"/>
        </w:rPr>
        <w:t xml:space="preserve">evidence from epidemiological studies there are increasing </w:t>
      </w:r>
      <w:r w:rsidR="004C6FDC" w:rsidRPr="00461964">
        <w:rPr>
          <w:rFonts w:ascii="Calibri" w:hAnsi="Calibri" w:cs="Calibri"/>
        </w:rPr>
        <w:t>efforts</w:t>
      </w:r>
      <w:r w:rsidR="00867C32" w:rsidRPr="00461964">
        <w:rPr>
          <w:rFonts w:ascii="Calibri" w:hAnsi="Calibri" w:cs="Calibri"/>
        </w:rPr>
        <w:t xml:space="preserve"> to adapt </w:t>
      </w:r>
      <w:r w:rsidR="004C26D4">
        <w:rPr>
          <w:rFonts w:ascii="Calibri" w:hAnsi="Calibri" w:cs="Calibri"/>
        </w:rPr>
        <w:t xml:space="preserve">them </w:t>
      </w:r>
      <w:r w:rsidR="00867C32" w:rsidRPr="00461964">
        <w:rPr>
          <w:rFonts w:ascii="Calibri" w:hAnsi="Calibri" w:cs="Calibri"/>
        </w:rPr>
        <w:t>to toxicological studies.</w:t>
      </w:r>
      <w:bookmarkEnd w:id="58"/>
      <w:r w:rsidR="00867C32" w:rsidRPr="00461964">
        <w:rPr>
          <w:rFonts w:ascii="Calibri" w:hAnsi="Calibri" w:cs="Calibri"/>
        </w:rPr>
        <w:t xml:space="preserve"> </w:t>
      </w:r>
      <w:r w:rsidR="00E14D52" w:rsidRPr="00461964">
        <w:rPr>
          <w:rFonts w:ascii="Calibri" w:hAnsi="Calibri" w:cs="Calibri"/>
        </w:rPr>
        <w:t xml:space="preserve">It would be beneficial to apply this more systematic approach to evidence retrieval and evaluation in other risk assessment areas. </w:t>
      </w:r>
    </w:p>
    <w:p w:rsidR="00F15922" w:rsidRPr="00D176FF" w:rsidRDefault="004F148B" w:rsidP="00201CE8">
      <w:pPr>
        <w:spacing w:before="100" w:beforeAutospacing="1" w:after="100" w:afterAutospacing="1" w:line="276" w:lineRule="auto"/>
        <w:rPr>
          <w:rFonts w:ascii="Calibri" w:hAnsi="Calibri" w:cs="Calibri"/>
        </w:rPr>
      </w:pPr>
      <w:bookmarkStart w:id="59" w:name="_Toc322935526"/>
      <w:r w:rsidRPr="00461964">
        <w:rPr>
          <w:rFonts w:ascii="Calibri" w:hAnsi="Calibri" w:cs="Calibri"/>
        </w:rPr>
        <w:lastRenderedPageBreak/>
        <w:t xml:space="preserve">The main challenge is to identify critical issues early in the planning phase of risk assessments, and </w:t>
      </w:r>
      <w:r w:rsidR="00BE43D3">
        <w:rPr>
          <w:rFonts w:ascii="Calibri" w:hAnsi="Calibri" w:cs="Calibri"/>
        </w:rPr>
        <w:t>ensuring the</w:t>
      </w:r>
      <w:r w:rsidRPr="00461964">
        <w:rPr>
          <w:rFonts w:ascii="Calibri" w:hAnsi="Calibri" w:cs="Calibri"/>
        </w:rPr>
        <w:t xml:space="preserve"> more systematic involvement of key scientific staff</w:t>
      </w:r>
      <w:r w:rsidR="000C1F11" w:rsidRPr="00461964">
        <w:rPr>
          <w:rFonts w:ascii="Calibri" w:hAnsi="Calibri" w:cs="Calibri"/>
        </w:rPr>
        <w:t>, including those who are not routinely involved in the risk assessments</w:t>
      </w:r>
      <w:r w:rsidRPr="00461964">
        <w:rPr>
          <w:rFonts w:ascii="Calibri" w:hAnsi="Calibri" w:cs="Calibri"/>
        </w:rPr>
        <w:t xml:space="preserve"> </w:t>
      </w:r>
      <w:r w:rsidR="000C1F11" w:rsidRPr="00461964">
        <w:rPr>
          <w:rFonts w:ascii="Calibri" w:hAnsi="Calibri" w:cs="Calibri"/>
        </w:rPr>
        <w:t xml:space="preserve">(e.g. </w:t>
      </w:r>
      <w:r w:rsidR="000C1F11" w:rsidRPr="00D176FF">
        <w:rPr>
          <w:rFonts w:ascii="Calibri" w:hAnsi="Calibri" w:cs="Calibri"/>
        </w:rPr>
        <w:t>Chief Public Health Nutrition Advisor)</w:t>
      </w:r>
      <w:r w:rsidR="00BE43D3" w:rsidRPr="00D176FF">
        <w:rPr>
          <w:rFonts w:ascii="Calibri" w:hAnsi="Calibri" w:cs="Calibri"/>
        </w:rPr>
        <w:t xml:space="preserve">, as this </w:t>
      </w:r>
      <w:r w:rsidRPr="00461964">
        <w:rPr>
          <w:rFonts w:ascii="Calibri" w:hAnsi="Calibri" w:cs="Calibri"/>
        </w:rPr>
        <w:t>would be beneficial</w:t>
      </w:r>
      <w:r w:rsidR="000C1F11" w:rsidRPr="00D176FF">
        <w:rPr>
          <w:rFonts w:ascii="Calibri" w:hAnsi="Calibri" w:cs="Calibri"/>
        </w:rPr>
        <w:t>.</w:t>
      </w:r>
      <w:bookmarkEnd w:id="59"/>
    </w:p>
    <w:p w:rsidR="00C21F02" w:rsidRPr="0003593C" w:rsidRDefault="00A05E51" w:rsidP="008A3A42">
      <w:pPr>
        <w:pStyle w:val="Heading3"/>
      </w:pPr>
      <w:bookmarkStart w:id="60" w:name="_Toc322935527"/>
      <w:bookmarkStart w:id="61" w:name="_Toc332960014"/>
      <w:r>
        <w:t xml:space="preserve">6.2.6. </w:t>
      </w:r>
      <w:r w:rsidR="00C21F02" w:rsidRPr="0003593C">
        <w:t xml:space="preserve">Food </w:t>
      </w:r>
      <w:r w:rsidR="00BE43D3">
        <w:t>c</w:t>
      </w:r>
      <w:r w:rsidR="00C21F02" w:rsidRPr="0003593C">
        <w:t>o</w:t>
      </w:r>
      <w:r w:rsidR="003E23E9">
        <w:t>mposition</w:t>
      </w:r>
      <w:r w:rsidR="00C21F02" w:rsidRPr="0003593C">
        <w:t xml:space="preserve">, </w:t>
      </w:r>
      <w:r w:rsidR="00BE43D3">
        <w:t>e</w:t>
      </w:r>
      <w:r w:rsidR="00C21F02" w:rsidRPr="0003593C">
        <w:t xml:space="preserve">valuation and </w:t>
      </w:r>
      <w:r w:rsidR="00BE43D3">
        <w:t>m</w:t>
      </w:r>
      <w:r w:rsidR="00C21F02" w:rsidRPr="0003593C">
        <w:t>odelling</w:t>
      </w:r>
      <w:bookmarkEnd w:id="60"/>
      <w:bookmarkEnd w:id="61"/>
    </w:p>
    <w:p w:rsidR="0003593C" w:rsidRPr="001F2EAE" w:rsidRDefault="0003593C" w:rsidP="00201CE8">
      <w:pPr>
        <w:spacing w:before="100" w:beforeAutospacing="1" w:after="100" w:afterAutospacing="1" w:line="276" w:lineRule="auto"/>
        <w:rPr>
          <w:rFonts w:ascii="Calibri" w:hAnsi="Calibri" w:cs="Calibri"/>
        </w:rPr>
      </w:pPr>
      <w:r w:rsidRPr="00461964">
        <w:rPr>
          <w:rFonts w:ascii="Calibri" w:hAnsi="Calibri" w:cs="Calibri"/>
        </w:rPr>
        <w:t xml:space="preserve">This </w:t>
      </w:r>
      <w:r w:rsidR="00BE43D3">
        <w:rPr>
          <w:rFonts w:ascii="Calibri" w:hAnsi="Calibri" w:cs="Calibri"/>
        </w:rPr>
        <w:t>section works across different areas in FSANZ</w:t>
      </w:r>
      <w:r w:rsidRPr="00461964">
        <w:rPr>
          <w:rFonts w:ascii="Calibri" w:hAnsi="Calibri" w:cs="Calibri"/>
        </w:rPr>
        <w:t xml:space="preserve">, </w:t>
      </w:r>
      <w:r w:rsidR="00BE43D3">
        <w:rPr>
          <w:rFonts w:ascii="Calibri" w:hAnsi="Calibri" w:cs="Calibri"/>
        </w:rPr>
        <w:t xml:space="preserve">providing </w:t>
      </w:r>
      <w:r w:rsidR="00C21F02" w:rsidRPr="00461964">
        <w:rPr>
          <w:rFonts w:ascii="Calibri" w:hAnsi="Calibri" w:cs="Calibri"/>
        </w:rPr>
        <w:t xml:space="preserve">input to </w:t>
      </w:r>
      <w:r w:rsidR="003B309D" w:rsidRPr="00461964">
        <w:rPr>
          <w:rFonts w:ascii="Calibri" w:hAnsi="Calibri" w:cs="Calibri"/>
        </w:rPr>
        <w:t>FSANZ</w:t>
      </w:r>
      <w:r w:rsidRPr="00461964">
        <w:rPr>
          <w:rFonts w:ascii="Calibri" w:hAnsi="Calibri" w:cs="Calibri"/>
        </w:rPr>
        <w:t xml:space="preserve"> risk assessments, </w:t>
      </w:r>
      <w:r w:rsidR="00D7068B">
        <w:rPr>
          <w:rFonts w:ascii="Calibri" w:hAnsi="Calibri" w:cs="Calibri"/>
        </w:rPr>
        <w:t xml:space="preserve">risk assessments for </w:t>
      </w:r>
      <w:r w:rsidR="00BE43D3">
        <w:rPr>
          <w:rFonts w:ascii="Calibri" w:hAnsi="Calibri" w:cs="Calibri"/>
        </w:rPr>
        <w:t>s</w:t>
      </w:r>
      <w:r w:rsidR="00386862" w:rsidRPr="00461964">
        <w:rPr>
          <w:rFonts w:ascii="Calibri" w:hAnsi="Calibri" w:cs="Calibri"/>
        </w:rPr>
        <w:t xml:space="preserve">tates and </w:t>
      </w:r>
      <w:r w:rsidR="00BE43D3">
        <w:rPr>
          <w:rFonts w:ascii="Calibri" w:hAnsi="Calibri" w:cs="Calibri"/>
        </w:rPr>
        <w:t>t</w:t>
      </w:r>
      <w:r w:rsidRPr="00461964">
        <w:rPr>
          <w:rFonts w:ascii="Calibri" w:hAnsi="Calibri" w:cs="Calibri"/>
        </w:rPr>
        <w:t>erritories</w:t>
      </w:r>
      <w:r w:rsidR="00B17984">
        <w:rPr>
          <w:rFonts w:ascii="Calibri" w:hAnsi="Calibri" w:cs="Calibri"/>
        </w:rPr>
        <w:t xml:space="preserve"> and New Zealand</w:t>
      </w:r>
      <w:r w:rsidRPr="00461964">
        <w:rPr>
          <w:rFonts w:ascii="Calibri" w:hAnsi="Calibri" w:cs="Calibri"/>
        </w:rPr>
        <w:t xml:space="preserve"> on request, and to international work such as </w:t>
      </w:r>
      <w:r w:rsidR="0063777E" w:rsidRPr="00461964">
        <w:rPr>
          <w:rFonts w:ascii="Calibri" w:hAnsi="Calibri" w:cs="Calibri"/>
        </w:rPr>
        <w:t>independent</w:t>
      </w:r>
      <w:r w:rsidRPr="00461964">
        <w:rPr>
          <w:rFonts w:ascii="Calibri" w:hAnsi="Calibri" w:cs="Calibri"/>
        </w:rPr>
        <w:t xml:space="preserve"> international expert committees </w:t>
      </w:r>
      <w:r w:rsidR="003F0B09">
        <w:rPr>
          <w:rFonts w:ascii="Calibri" w:hAnsi="Calibri" w:cs="Calibri"/>
        </w:rPr>
        <w:t>including</w:t>
      </w:r>
      <w:r w:rsidRPr="00461964">
        <w:rPr>
          <w:rFonts w:ascii="Calibri" w:hAnsi="Calibri" w:cs="Calibri"/>
        </w:rPr>
        <w:t xml:space="preserve"> JECFA.</w:t>
      </w:r>
      <w:r w:rsidR="00014A58" w:rsidRPr="00461964">
        <w:rPr>
          <w:rFonts w:ascii="Calibri" w:hAnsi="Calibri" w:cs="Calibri"/>
        </w:rPr>
        <w:t xml:space="preserve"> </w:t>
      </w:r>
      <w:r w:rsidR="00BE43D3">
        <w:rPr>
          <w:rFonts w:ascii="Calibri" w:hAnsi="Calibri" w:cs="Calibri"/>
        </w:rPr>
        <w:t xml:space="preserve">The </w:t>
      </w:r>
      <w:r w:rsidR="00014A58" w:rsidRPr="00461964">
        <w:rPr>
          <w:rFonts w:ascii="Calibri" w:hAnsi="Calibri" w:cs="Calibri"/>
        </w:rPr>
        <w:t xml:space="preserve">unit </w:t>
      </w:r>
      <w:r w:rsidR="00BE43D3">
        <w:rPr>
          <w:rFonts w:ascii="Calibri" w:hAnsi="Calibri" w:cs="Calibri"/>
        </w:rPr>
        <w:t xml:space="preserve">also </w:t>
      </w:r>
      <w:r w:rsidR="00014A58" w:rsidRPr="00461964">
        <w:rPr>
          <w:rFonts w:ascii="Calibri" w:hAnsi="Calibri" w:cs="Calibri"/>
        </w:rPr>
        <w:t>works wi</w:t>
      </w:r>
      <w:r w:rsidR="00902A2C" w:rsidRPr="00461964">
        <w:rPr>
          <w:rFonts w:ascii="Calibri" w:hAnsi="Calibri" w:cs="Calibri"/>
        </w:rPr>
        <w:t>th other Australian Government a</w:t>
      </w:r>
      <w:r w:rsidR="00014A58" w:rsidRPr="00461964">
        <w:rPr>
          <w:rFonts w:ascii="Calibri" w:hAnsi="Calibri" w:cs="Calibri"/>
        </w:rPr>
        <w:t xml:space="preserve">gencies, in particular with </w:t>
      </w:r>
      <w:r w:rsidR="00FC76E0">
        <w:rPr>
          <w:rFonts w:ascii="Calibri" w:hAnsi="Calibri" w:cs="Calibri"/>
        </w:rPr>
        <w:t xml:space="preserve">the </w:t>
      </w:r>
      <w:r w:rsidR="00D7068B" w:rsidRPr="00201CE8">
        <w:rPr>
          <w:rFonts w:ascii="Calibri" w:hAnsi="Calibri" w:cs="Calibri"/>
        </w:rPr>
        <w:t>Australian Pesticides and Veterinary Medicine Authority (</w:t>
      </w:r>
      <w:r w:rsidR="00014A58" w:rsidRPr="00461964">
        <w:rPr>
          <w:rFonts w:ascii="Calibri" w:hAnsi="Calibri" w:cs="Calibri"/>
        </w:rPr>
        <w:t>APVMA</w:t>
      </w:r>
      <w:r w:rsidR="00D7068B">
        <w:rPr>
          <w:rFonts w:ascii="Calibri" w:hAnsi="Calibri" w:cs="Calibri"/>
        </w:rPr>
        <w:t>)</w:t>
      </w:r>
      <w:r w:rsidR="00014A58" w:rsidRPr="00461964">
        <w:rPr>
          <w:rFonts w:ascii="Calibri" w:hAnsi="Calibri" w:cs="Calibri"/>
        </w:rPr>
        <w:t xml:space="preserve"> </w:t>
      </w:r>
      <w:r w:rsidR="00BE43D3">
        <w:rPr>
          <w:rFonts w:ascii="Calibri" w:hAnsi="Calibri" w:cs="Calibri"/>
        </w:rPr>
        <w:t>on</w:t>
      </w:r>
      <w:r w:rsidR="00014A58" w:rsidRPr="00461964">
        <w:rPr>
          <w:rFonts w:ascii="Calibri" w:hAnsi="Calibri" w:cs="Calibri"/>
        </w:rPr>
        <w:t xml:space="preserve"> dietary exposure assessment of pesticide </w:t>
      </w:r>
      <w:r w:rsidR="00D7068B">
        <w:rPr>
          <w:rFonts w:ascii="Calibri" w:hAnsi="Calibri" w:cs="Calibri"/>
        </w:rPr>
        <w:t xml:space="preserve">and veterinary drug </w:t>
      </w:r>
      <w:r w:rsidR="00014A58" w:rsidRPr="00461964">
        <w:rPr>
          <w:rFonts w:ascii="Calibri" w:hAnsi="Calibri" w:cs="Calibri"/>
        </w:rPr>
        <w:t xml:space="preserve">residues in food. </w:t>
      </w:r>
    </w:p>
    <w:p w:rsidR="00014A58" w:rsidRPr="00461964" w:rsidRDefault="00C21F02" w:rsidP="00201CE8">
      <w:pPr>
        <w:spacing w:before="100" w:beforeAutospacing="1" w:after="100" w:afterAutospacing="1" w:line="276" w:lineRule="auto"/>
        <w:rPr>
          <w:rFonts w:ascii="Calibri" w:hAnsi="Calibri" w:cs="Calibri"/>
        </w:rPr>
      </w:pPr>
      <w:r w:rsidRPr="00461964">
        <w:rPr>
          <w:rFonts w:ascii="Calibri" w:hAnsi="Calibri" w:cs="Calibri"/>
        </w:rPr>
        <w:t xml:space="preserve">Recent </w:t>
      </w:r>
      <w:r w:rsidR="0003593C" w:rsidRPr="00461964">
        <w:rPr>
          <w:rFonts w:ascii="Calibri" w:hAnsi="Calibri" w:cs="Calibri"/>
        </w:rPr>
        <w:t>improvements</w:t>
      </w:r>
      <w:r w:rsidRPr="00461964">
        <w:rPr>
          <w:rFonts w:ascii="Calibri" w:hAnsi="Calibri" w:cs="Calibri"/>
        </w:rPr>
        <w:t xml:space="preserve"> to </w:t>
      </w:r>
      <w:r w:rsidR="0003593C" w:rsidRPr="00461964">
        <w:rPr>
          <w:rFonts w:ascii="Calibri" w:hAnsi="Calibri" w:cs="Calibri"/>
        </w:rPr>
        <w:t xml:space="preserve">the </w:t>
      </w:r>
      <w:r w:rsidRPr="00461964">
        <w:rPr>
          <w:rFonts w:ascii="Calibri" w:hAnsi="Calibri" w:cs="Calibri"/>
        </w:rPr>
        <w:t xml:space="preserve">process on dietary exposure modelling </w:t>
      </w:r>
      <w:r w:rsidR="0003593C" w:rsidRPr="00461964">
        <w:rPr>
          <w:rFonts w:ascii="Calibri" w:hAnsi="Calibri" w:cs="Calibri"/>
        </w:rPr>
        <w:t>include the p</w:t>
      </w:r>
      <w:r w:rsidRPr="00461964">
        <w:rPr>
          <w:rFonts w:ascii="Calibri" w:hAnsi="Calibri" w:cs="Calibri"/>
        </w:rPr>
        <w:t xml:space="preserve">ublication of </w:t>
      </w:r>
      <w:r w:rsidR="003B309D" w:rsidRPr="00461964">
        <w:rPr>
          <w:rFonts w:ascii="Calibri" w:hAnsi="Calibri" w:cs="Calibri"/>
        </w:rPr>
        <w:t xml:space="preserve">a </w:t>
      </w:r>
      <w:r w:rsidRPr="00461964">
        <w:rPr>
          <w:rFonts w:ascii="Calibri" w:hAnsi="Calibri" w:cs="Calibri"/>
        </w:rPr>
        <w:t xml:space="preserve">handbook </w:t>
      </w:r>
      <w:r w:rsidR="003B309D" w:rsidRPr="00461964">
        <w:rPr>
          <w:rFonts w:ascii="Calibri" w:hAnsi="Calibri" w:cs="Calibri"/>
        </w:rPr>
        <w:t xml:space="preserve">on </w:t>
      </w:r>
      <w:r w:rsidR="00902A2C" w:rsidRPr="00461964">
        <w:rPr>
          <w:rFonts w:ascii="Calibri" w:hAnsi="Calibri" w:cs="Calibri"/>
        </w:rPr>
        <w:t>principles and procedures</w:t>
      </w:r>
      <w:r w:rsidR="00BE43D3">
        <w:rPr>
          <w:rFonts w:ascii="Calibri" w:hAnsi="Calibri" w:cs="Calibri"/>
        </w:rPr>
        <w:t xml:space="preserve">, </w:t>
      </w:r>
      <w:r w:rsidR="00902A2C" w:rsidRPr="00461964">
        <w:rPr>
          <w:rFonts w:ascii="Calibri" w:hAnsi="Calibri" w:cs="Calibri"/>
        </w:rPr>
        <w:t xml:space="preserve">which also </w:t>
      </w:r>
      <w:r w:rsidRPr="00461964">
        <w:rPr>
          <w:rFonts w:ascii="Calibri" w:hAnsi="Calibri" w:cs="Calibri"/>
        </w:rPr>
        <w:t>incl</w:t>
      </w:r>
      <w:r w:rsidR="00902A2C" w:rsidRPr="00461964">
        <w:rPr>
          <w:rFonts w:ascii="Calibri" w:hAnsi="Calibri" w:cs="Calibri"/>
        </w:rPr>
        <w:t>udes explanation on assumptions</w:t>
      </w:r>
      <w:r w:rsidR="003B309D" w:rsidRPr="00461964">
        <w:rPr>
          <w:rFonts w:ascii="Calibri" w:hAnsi="Calibri" w:cs="Calibri"/>
        </w:rPr>
        <w:t>;</w:t>
      </w:r>
      <w:r w:rsidR="0003593C" w:rsidRPr="00461964">
        <w:rPr>
          <w:rFonts w:ascii="Calibri" w:hAnsi="Calibri" w:cs="Calibri"/>
        </w:rPr>
        <w:t xml:space="preserve"> the presentation of data</w:t>
      </w:r>
      <w:r w:rsidR="00D7068B">
        <w:rPr>
          <w:rFonts w:ascii="Calibri" w:hAnsi="Calibri" w:cs="Calibri"/>
        </w:rPr>
        <w:t xml:space="preserve"> (</w:t>
      </w:r>
      <w:r w:rsidR="0003593C" w:rsidRPr="00461964">
        <w:rPr>
          <w:rFonts w:ascii="Calibri" w:hAnsi="Calibri" w:cs="Calibri"/>
        </w:rPr>
        <w:t xml:space="preserve">which is now more </w:t>
      </w:r>
      <w:r w:rsidRPr="00461964">
        <w:rPr>
          <w:rFonts w:ascii="Calibri" w:hAnsi="Calibri" w:cs="Calibri"/>
        </w:rPr>
        <w:t xml:space="preserve">concise </w:t>
      </w:r>
      <w:r w:rsidR="00D7068B">
        <w:rPr>
          <w:rFonts w:ascii="Calibri" w:hAnsi="Calibri" w:cs="Calibri"/>
        </w:rPr>
        <w:t>when</w:t>
      </w:r>
      <w:r w:rsidR="00D7068B" w:rsidRPr="00461964">
        <w:rPr>
          <w:rFonts w:ascii="Calibri" w:hAnsi="Calibri" w:cs="Calibri"/>
        </w:rPr>
        <w:t xml:space="preserve"> </w:t>
      </w:r>
      <w:r w:rsidRPr="00461964">
        <w:rPr>
          <w:rFonts w:ascii="Calibri" w:hAnsi="Calibri" w:cs="Calibri"/>
        </w:rPr>
        <w:t xml:space="preserve">included in </w:t>
      </w:r>
      <w:r w:rsidR="003B309D" w:rsidRPr="00461964">
        <w:rPr>
          <w:rFonts w:ascii="Calibri" w:hAnsi="Calibri" w:cs="Calibri"/>
        </w:rPr>
        <w:t>the risk assessment</w:t>
      </w:r>
      <w:r w:rsidRPr="00461964">
        <w:rPr>
          <w:rFonts w:ascii="Calibri" w:hAnsi="Calibri" w:cs="Calibri"/>
        </w:rPr>
        <w:t xml:space="preserve"> report</w:t>
      </w:r>
      <w:r w:rsidR="00D7068B">
        <w:rPr>
          <w:rFonts w:ascii="Calibri" w:hAnsi="Calibri" w:cs="Calibri"/>
        </w:rPr>
        <w:t>)</w:t>
      </w:r>
      <w:r w:rsidR="003B309D" w:rsidRPr="00461964">
        <w:rPr>
          <w:rFonts w:ascii="Calibri" w:hAnsi="Calibri" w:cs="Calibri"/>
        </w:rPr>
        <w:t>;</w:t>
      </w:r>
      <w:r w:rsidR="0003593C" w:rsidRPr="00461964">
        <w:rPr>
          <w:rFonts w:ascii="Calibri" w:hAnsi="Calibri" w:cs="Calibri"/>
        </w:rPr>
        <w:t xml:space="preserve"> as well as</w:t>
      </w:r>
      <w:r w:rsidR="007C2189" w:rsidRPr="00461964">
        <w:rPr>
          <w:rFonts w:ascii="Calibri" w:hAnsi="Calibri" w:cs="Calibri"/>
        </w:rPr>
        <w:t xml:space="preserve"> a</w:t>
      </w:r>
      <w:r w:rsidR="0003593C" w:rsidRPr="00461964">
        <w:rPr>
          <w:rFonts w:ascii="Calibri" w:hAnsi="Calibri" w:cs="Calibri"/>
        </w:rPr>
        <w:t xml:space="preserve"> </w:t>
      </w:r>
      <w:r w:rsidR="007C2189" w:rsidRPr="00461964">
        <w:rPr>
          <w:rFonts w:ascii="Calibri" w:hAnsi="Calibri" w:cs="Calibri"/>
        </w:rPr>
        <w:t xml:space="preserve">clearer defined scope allowing </w:t>
      </w:r>
      <w:r w:rsidR="0003593C" w:rsidRPr="00461964">
        <w:rPr>
          <w:rFonts w:ascii="Calibri" w:hAnsi="Calibri" w:cs="Calibri"/>
        </w:rPr>
        <w:t xml:space="preserve">the work </w:t>
      </w:r>
      <w:r w:rsidR="007C2189" w:rsidRPr="00461964">
        <w:rPr>
          <w:rFonts w:ascii="Calibri" w:hAnsi="Calibri" w:cs="Calibri"/>
        </w:rPr>
        <w:t>to be more targeted</w:t>
      </w:r>
      <w:r w:rsidR="0003593C" w:rsidRPr="00461964">
        <w:rPr>
          <w:rFonts w:ascii="Calibri" w:hAnsi="Calibri" w:cs="Calibri"/>
        </w:rPr>
        <w:t xml:space="preserve">. </w:t>
      </w:r>
      <w:r w:rsidR="003B309D" w:rsidRPr="00461964">
        <w:rPr>
          <w:rFonts w:ascii="Calibri" w:hAnsi="Calibri" w:cs="Calibri"/>
        </w:rPr>
        <w:t>P</w:t>
      </w:r>
      <w:r w:rsidR="0003593C" w:rsidRPr="00461964">
        <w:rPr>
          <w:rFonts w:ascii="Calibri" w:hAnsi="Calibri" w:cs="Calibri"/>
        </w:rPr>
        <w:t>rojects are underway to further improve the modelling of dietary exposure, mainly by improving underlying databases</w:t>
      </w:r>
      <w:r w:rsidR="00014A58" w:rsidRPr="00461964">
        <w:rPr>
          <w:rFonts w:ascii="Calibri" w:hAnsi="Calibri" w:cs="Calibri"/>
        </w:rPr>
        <w:t xml:space="preserve">. These include </w:t>
      </w:r>
      <w:r w:rsidR="00C421F2">
        <w:rPr>
          <w:rFonts w:ascii="Calibri" w:hAnsi="Calibri" w:cs="Calibri"/>
        </w:rPr>
        <w:t>improved</w:t>
      </w:r>
      <w:r w:rsidR="00D7068B">
        <w:rPr>
          <w:rFonts w:ascii="Calibri" w:hAnsi="Calibri" w:cs="Calibri"/>
        </w:rPr>
        <w:t xml:space="preserve"> data management and analysis </w:t>
      </w:r>
      <w:r w:rsidR="00C421F2">
        <w:rPr>
          <w:rFonts w:ascii="Calibri" w:hAnsi="Calibri" w:cs="Calibri"/>
        </w:rPr>
        <w:t>techniques</w:t>
      </w:r>
      <w:r w:rsidR="00D7068B">
        <w:rPr>
          <w:rFonts w:ascii="Calibri" w:hAnsi="Calibri" w:cs="Calibri"/>
        </w:rPr>
        <w:t xml:space="preserve"> with access to the national nutrition survey databases held by FSANZ and </w:t>
      </w:r>
      <w:r w:rsidR="00014A58" w:rsidRPr="00461964">
        <w:rPr>
          <w:rFonts w:ascii="Calibri" w:hAnsi="Calibri" w:cs="Calibri"/>
        </w:rPr>
        <w:t>expansion of food composition tables</w:t>
      </w:r>
      <w:r w:rsidR="00D7068B">
        <w:rPr>
          <w:rFonts w:ascii="Calibri" w:hAnsi="Calibri" w:cs="Calibri"/>
        </w:rPr>
        <w:t xml:space="preserve"> in a </w:t>
      </w:r>
      <w:r w:rsidR="00D16691">
        <w:rPr>
          <w:rFonts w:ascii="Calibri" w:hAnsi="Calibri" w:cs="Calibri"/>
        </w:rPr>
        <w:t>relat</w:t>
      </w:r>
      <w:r w:rsidR="00BE43D3">
        <w:rPr>
          <w:rFonts w:ascii="Calibri" w:hAnsi="Calibri" w:cs="Calibri"/>
        </w:rPr>
        <w:t>ed</w:t>
      </w:r>
      <w:r w:rsidR="00D16691">
        <w:rPr>
          <w:rFonts w:ascii="Calibri" w:hAnsi="Calibri" w:cs="Calibri"/>
        </w:rPr>
        <w:t xml:space="preserve"> database</w:t>
      </w:r>
      <w:r w:rsidR="00014A58" w:rsidRPr="00461964">
        <w:rPr>
          <w:rFonts w:ascii="Calibri" w:hAnsi="Calibri" w:cs="Calibri"/>
        </w:rPr>
        <w:t xml:space="preserve">, </w:t>
      </w:r>
      <w:r w:rsidR="00D7068B">
        <w:rPr>
          <w:rFonts w:ascii="Calibri" w:hAnsi="Calibri" w:cs="Calibri"/>
        </w:rPr>
        <w:t xml:space="preserve">through </w:t>
      </w:r>
      <w:r w:rsidR="00014A58" w:rsidRPr="00461964">
        <w:rPr>
          <w:rFonts w:ascii="Calibri" w:hAnsi="Calibri" w:cs="Calibri"/>
        </w:rPr>
        <w:t xml:space="preserve">an IT project to combine data sources (HARVEST). This will </w:t>
      </w:r>
      <w:r w:rsidR="00D7068B">
        <w:rPr>
          <w:rFonts w:ascii="Calibri" w:hAnsi="Calibri" w:cs="Calibri"/>
        </w:rPr>
        <w:t>facilitate</w:t>
      </w:r>
      <w:r w:rsidR="00014A58" w:rsidRPr="00461964">
        <w:rPr>
          <w:rFonts w:ascii="Calibri" w:hAnsi="Calibri" w:cs="Calibri"/>
        </w:rPr>
        <w:t xml:space="preserve"> </w:t>
      </w:r>
      <w:r w:rsidR="00D16691">
        <w:rPr>
          <w:rFonts w:ascii="Calibri" w:hAnsi="Calibri" w:cs="Calibri"/>
        </w:rPr>
        <w:t>the use of</w:t>
      </w:r>
      <w:r w:rsidR="00014A58" w:rsidRPr="00461964">
        <w:rPr>
          <w:rFonts w:ascii="Calibri" w:hAnsi="Calibri" w:cs="Calibri"/>
        </w:rPr>
        <w:t xml:space="preserve"> probabilistic modelling approaches, to complement deterministic approaches where appropriate.</w:t>
      </w:r>
    </w:p>
    <w:p w:rsidR="0024565F" w:rsidRPr="00461964" w:rsidRDefault="0024565F" w:rsidP="00201CE8">
      <w:pPr>
        <w:spacing w:before="100" w:beforeAutospacing="1" w:after="100" w:afterAutospacing="1" w:line="276" w:lineRule="auto"/>
        <w:rPr>
          <w:rFonts w:ascii="Calibri" w:hAnsi="Calibri" w:cs="Calibri"/>
        </w:rPr>
      </w:pPr>
      <w:r w:rsidRPr="00461964">
        <w:rPr>
          <w:rFonts w:ascii="Calibri" w:hAnsi="Calibri" w:cs="Calibri"/>
        </w:rPr>
        <w:t>This area is well established and provides exposure assessment</w:t>
      </w:r>
      <w:r w:rsidR="00BE43D3">
        <w:rPr>
          <w:rFonts w:ascii="Calibri" w:hAnsi="Calibri" w:cs="Calibri"/>
        </w:rPr>
        <w:t>s</w:t>
      </w:r>
      <w:r w:rsidRPr="00461964">
        <w:rPr>
          <w:rFonts w:ascii="Calibri" w:hAnsi="Calibri" w:cs="Calibri"/>
        </w:rPr>
        <w:t xml:space="preserve">, which </w:t>
      </w:r>
      <w:r w:rsidR="00BE43D3">
        <w:rPr>
          <w:rFonts w:ascii="Calibri" w:hAnsi="Calibri" w:cs="Calibri"/>
        </w:rPr>
        <w:t xml:space="preserve">are </w:t>
      </w:r>
      <w:r w:rsidRPr="00461964">
        <w:rPr>
          <w:rFonts w:ascii="Calibri" w:hAnsi="Calibri" w:cs="Calibri"/>
        </w:rPr>
        <w:t>an important part of risk assessment work. FSANZ</w:t>
      </w:r>
      <w:r w:rsidR="00902A2C" w:rsidRPr="00461964">
        <w:rPr>
          <w:rFonts w:ascii="Calibri" w:hAnsi="Calibri" w:cs="Calibri"/>
        </w:rPr>
        <w:t>’</w:t>
      </w:r>
      <w:r w:rsidRPr="00461964">
        <w:rPr>
          <w:rFonts w:ascii="Calibri" w:hAnsi="Calibri" w:cs="Calibri"/>
        </w:rPr>
        <w:t xml:space="preserve">s expertise is well acknowledged in this area </w:t>
      </w:r>
      <w:r w:rsidR="00FC76E0">
        <w:rPr>
          <w:rFonts w:ascii="Calibri" w:hAnsi="Calibri" w:cs="Calibri"/>
        </w:rPr>
        <w:t xml:space="preserve">and </w:t>
      </w:r>
      <w:r w:rsidR="00902A2C" w:rsidRPr="00461964">
        <w:rPr>
          <w:rFonts w:ascii="Calibri" w:hAnsi="Calibri" w:cs="Calibri"/>
        </w:rPr>
        <w:t xml:space="preserve">other government agencies draw on this </w:t>
      </w:r>
      <w:r w:rsidRPr="00461964">
        <w:rPr>
          <w:rFonts w:ascii="Calibri" w:hAnsi="Calibri" w:cs="Calibri"/>
        </w:rPr>
        <w:t xml:space="preserve">expertise </w:t>
      </w:r>
      <w:r w:rsidR="003B309D" w:rsidRPr="00461964">
        <w:rPr>
          <w:rFonts w:ascii="Calibri" w:hAnsi="Calibri" w:cs="Calibri"/>
        </w:rPr>
        <w:t>(e.g. APVMA). Moreover, continuou</w:t>
      </w:r>
      <w:r w:rsidRPr="00461964">
        <w:rPr>
          <w:rFonts w:ascii="Calibri" w:hAnsi="Calibri" w:cs="Calibri"/>
        </w:rPr>
        <w:t xml:space="preserve">s improvement and active methods development in dietary exposure modelling </w:t>
      </w:r>
      <w:r w:rsidR="00902A2C" w:rsidRPr="00461964">
        <w:rPr>
          <w:rFonts w:ascii="Calibri" w:hAnsi="Calibri" w:cs="Calibri"/>
        </w:rPr>
        <w:t>is</w:t>
      </w:r>
      <w:r w:rsidR="00F1017C" w:rsidRPr="00461964">
        <w:rPr>
          <w:rFonts w:ascii="Calibri" w:hAnsi="Calibri" w:cs="Calibri"/>
        </w:rPr>
        <w:t xml:space="preserve"> exemplary and provides important input to international work in this field.</w:t>
      </w:r>
    </w:p>
    <w:p w:rsidR="003F41F3" w:rsidRPr="00461964" w:rsidRDefault="00FC76E0" w:rsidP="00201CE8">
      <w:pPr>
        <w:spacing w:before="100" w:beforeAutospacing="1" w:after="100" w:afterAutospacing="1" w:line="276" w:lineRule="auto"/>
        <w:rPr>
          <w:rFonts w:ascii="Calibri" w:hAnsi="Calibri" w:cs="Calibri"/>
        </w:rPr>
      </w:pPr>
      <w:r>
        <w:rPr>
          <w:rFonts w:ascii="Calibri" w:hAnsi="Calibri" w:cs="Calibri"/>
        </w:rPr>
        <w:t>The m</w:t>
      </w:r>
      <w:r w:rsidR="003B309D" w:rsidRPr="00461964">
        <w:rPr>
          <w:rFonts w:ascii="Calibri" w:hAnsi="Calibri" w:cs="Calibri"/>
        </w:rPr>
        <w:t>ain c</w:t>
      </w:r>
      <w:r w:rsidR="003F41F3" w:rsidRPr="00461964">
        <w:rPr>
          <w:rFonts w:ascii="Calibri" w:hAnsi="Calibri" w:cs="Calibri"/>
        </w:rPr>
        <w:t>hallenges</w:t>
      </w:r>
      <w:r w:rsidR="00C75BB7" w:rsidRPr="00461964">
        <w:rPr>
          <w:rFonts w:ascii="Calibri" w:hAnsi="Calibri" w:cs="Calibri"/>
        </w:rPr>
        <w:t xml:space="preserve"> </w:t>
      </w:r>
      <w:r>
        <w:rPr>
          <w:rFonts w:ascii="Calibri" w:hAnsi="Calibri" w:cs="Calibri"/>
        </w:rPr>
        <w:t xml:space="preserve">in this area </w:t>
      </w:r>
      <w:r w:rsidR="003B309D" w:rsidRPr="00461964">
        <w:rPr>
          <w:rFonts w:ascii="Calibri" w:hAnsi="Calibri" w:cs="Calibri"/>
        </w:rPr>
        <w:t>are the</w:t>
      </w:r>
      <w:r w:rsidR="00C75BB7" w:rsidRPr="00461964">
        <w:rPr>
          <w:rFonts w:ascii="Calibri" w:hAnsi="Calibri" w:cs="Calibri"/>
        </w:rPr>
        <w:t xml:space="preserve"> </w:t>
      </w:r>
      <w:r w:rsidR="006560AE" w:rsidRPr="00461964">
        <w:rPr>
          <w:rFonts w:ascii="Calibri" w:hAnsi="Calibri" w:cs="Calibri"/>
        </w:rPr>
        <w:t>prioritization</w:t>
      </w:r>
      <w:r w:rsidR="003B309D" w:rsidRPr="00461964">
        <w:rPr>
          <w:rFonts w:ascii="Calibri" w:hAnsi="Calibri" w:cs="Calibri"/>
        </w:rPr>
        <w:t xml:space="preserve"> of the work</w:t>
      </w:r>
      <w:r w:rsidR="00C75BB7" w:rsidRPr="00461964">
        <w:rPr>
          <w:rFonts w:ascii="Calibri" w:hAnsi="Calibri" w:cs="Calibri"/>
        </w:rPr>
        <w:t xml:space="preserve">, </w:t>
      </w:r>
      <w:r w:rsidR="003B309D" w:rsidRPr="00461964">
        <w:rPr>
          <w:rFonts w:ascii="Calibri" w:hAnsi="Calibri" w:cs="Calibri"/>
        </w:rPr>
        <w:t>as well as</w:t>
      </w:r>
      <w:r w:rsidR="00902A2C" w:rsidRPr="00461964">
        <w:rPr>
          <w:rFonts w:ascii="Calibri" w:hAnsi="Calibri" w:cs="Calibri"/>
        </w:rPr>
        <w:t xml:space="preserve"> providing</w:t>
      </w:r>
      <w:r w:rsidR="003B309D" w:rsidRPr="00461964">
        <w:rPr>
          <w:rFonts w:ascii="Calibri" w:hAnsi="Calibri" w:cs="Calibri"/>
        </w:rPr>
        <w:t xml:space="preserve"> the appropriate </w:t>
      </w:r>
      <w:r w:rsidR="00C75BB7" w:rsidRPr="00461964">
        <w:rPr>
          <w:rFonts w:ascii="Calibri" w:hAnsi="Calibri" w:cs="Calibri"/>
        </w:rPr>
        <w:t xml:space="preserve">level of detail </w:t>
      </w:r>
      <w:r w:rsidR="003B309D" w:rsidRPr="00461964">
        <w:rPr>
          <w:rFonts w:ascii="Calibri" w:hAnsi="Calibri" w:cs="Calibri"/>
        </w:rPr>
        <w:t>targeted to respective risk assessment question</w:t>
      </w:r>
      <w:r w:rsidR="00BE43D3">
        <w:rPr>
          <w:rFonts w:ascii="Calibri" w:hAnsi="Calibri" w:cs="Calibri"/>
        </w:rPr>
        <w:t>s</w:t>
      </w:r>
      <w:r w:rsidR="003B309D" w:rsidRPr="00461964">
        <w:rPr>
          <w:rFonts w:ascii="Calibri" w:hAnsi="Calibri" w:cs="Calibri"/>
        </w:rPr>
        <w:t xml:space="preserve">. </w:t>
      </w:r>
      <w:r w:rsidR="003C6D75" w:rsidRPr="00461964">
        <w:rPr>
          <w:rFonts w:ascii="Calibri" w:hAnsi="Calibri" w:cs="Calibri"/>
        </w:rPr>
        <w:t xml:space="preserve">A further challenge is the </w:t>
      </w:r>
      <w:r w:rsidR="00F13DD9" w:rsidRPr="00461964">
        <w:rPr>
          <w:rFonts w:ascii="Calibri" w:hAnsi="Calibri" w:cs="Calibri"/>
        </w:rPr>
        <w:t xml:space="preserve">training </w:t>
      </w:r>
      <w:r w:rsidR="003C6D75" w:rsidRPr="00461964">
        <w:rPr>
          <w:rFonts w:ascii="Calibri" w:hAnsi="Calibri" w:cs="Calibri"/>
        </w:rPr>
        <w:t>of</w:t>
      </w:r>
      <w:r w:rsidR="00F60596">
        <w:rPr>
          <w:rFonts w:ascii="Calibri" w:hAnsi="Calibri" w:cs="Calibri"/>
        </w:rPr>
        <w:t xml:space="preserve"> new</w:t>
      </w:r>
      <w:r w:rsidR="003C6D75" w:rsidRPr="00461964">
        <w:rPr>
          <w:rFonts w:ascii="Calibri" w:hAnsi="Calibri" w:cs="Calibri"/>
        </w:rPr>
        <w:t xml:space="preserve"> staff </w:t>
      </w:r>
      <w:r w:rsidR="00F13DD9" w:rsidRPr="00C6593A">
        <w:rPr>
          <w:rFonts w:ascii="Calibri" w:hAnsi="Calibri" w:cs="Calibri"/>
        </w:rPr>
        <w:t xml:space="preserve">and </w:t>
      </w:r>
      <w:r w:rsidR="00F60596" w:rsidRPr="00C6593A">
        <w:rPr>
          <w:rFonts w:ascii="Calibri" w:hAnsi="Calibri" w:cs="Calibri"/>
        </w:rPr>
        <w:t>retaining experienced</w:t>
      </w:r>
      <w:r w:rsidR="003C6D75" w:rsidRPr="00C6593A">
        <w:rPr>
          <w:rFonts w:ascii="Calibri" w:hAnsi="Calibri" w:cs="Calibri"/>
        </w:rPr>
        <w:t xml:space="preserve"> staff</w:t>
      </w:r>
      <w:r w:rsidR="003C6D75" w:rsidRPr="00461964">
        <w:rPr>
          <w:rFonts w:ascii="Calibri" w:hAnsi="Calibri" w:cs="Calibri"/>
        </w:rPr>
        <w:t>.</w:t>
      </w:r>
    </w:p>
    <w:p w:rsidR="00C21F02" w:rsidRPr="00CF4ACB" w:rsidRDefault="00A05E51" w:rsidP="008A3A42">
      <w:pPr>
        <w:pStyle w:val="Heading3"/>
      </w:pPr>
      <w:bookmarkStart w:id="62" w:name="_Toc322935528"/>
      <w:bookmarkStart w:id="63" w:name="_Toc332960015"/>
      <w:r>
        <w:t xml:space="preserve">6.2.7. </w:t>
      </w:r>
      <w:r w:rsidR="0007684D">
        <w:t xml:space="preserve">Scientific </w:t>
      </w:r>
      <w:r w:rsidR="00BE43D3">
        <w:t>s</w:t>
      </w:r>
      <w:r w:rsidR="00C21F02" w:rsidRPr="00CF4ACB">
        <w:t xml:space="preserve">trategy, </w:t>
      </w:r>
      <w:r w:rsidR="00BE43D3">
        <w:t>i</w:t>
      </w:r>
      <w:r w:rsidR="00C21F02" w:rsidRPr="00CF4ACB">
        <w:t xml:space="preserve">nternational and </w:t>
      </w:r>
      <w:r w:rsidR="00BE43D3">
        <w:t>s</w:t>
      </w:r>
      <w:r w:rsidR="00C21F02" w:rsidRPr="00CF4ACB">
        <w:t>urveillance</w:t>
      </w:r>
      <w:bookmarkEnd w:id="62"/>
      <w:bookmarkEnd w:id="63"/>
    </w:p>
    <w:p w:rsidR="00844364" w:rsidRPr="00461964" w:rsidRDefault="00844364" w:rsidP="00201CE8">
      <w:pPr>
        <w:spacing w:before="100" w:beforeAutospacing="1" w:after="100" w:afterAutospacing="1" w:line="276" w:lineRule="auto"/>
        <w:rPr>
          <w:rFonts w:ascii="Calibri" w:hAnsi="Calibri" w:cs="Calibri"/>
        </w:rPr>
      </w:pPr>
      <w:r w:rsidRPr="00461964">
        <w:rPr>
          <w:rFonts w:ascii="Calibri" w:hAnsi="Calibri" w:cs="Calibri"/>
        </w:rPr>
        <w:t xml:space="preserve">The work in this unit is quite diverse. Responsibilities include the development </w:t>
      </w:r>
      <w:r w:rsidR="00542453">
        <w:rPr>
          <w:rFonts w:ascii="Calibri" w:hAnsi="Calibri" w:cs="Calibri"/>
        </w:rPr>
        <w:t xml:space="preserve">and review of the FSANZ Science Strategy and the </w:t>
      </w:r>
      <w:r w:rsidRPr="00461964">
        <w:rPr>
          <w:rFonts w:ascii="Calibri" w:hAnsi="Calibri" w:cs="Calibri"/>
        </w:rPr>
        <w:t xml:space="preserve">yearly </w:t>
      </w:r>
      <w:r w:rsidR="0007684D" w:rsidRPr="00461964">
        <w:rPr>
          <w:rFonts w:ascii="Calibri" w:hAnsi="Calibri" w:cs="Calibri"/>
        </w:rPr>
        <w:t>implementation plan</w:t>
      </w:r>
      <w:r w:rsidR="00542453">
        <w:rPr>
          <w:rFonts w:ascii="Calibri" w:hAnsi="Calibri" w:cs="Calibri"/>
        </w:rPr>
        <w:t>s</w:t>
      </w:r>
      <w:r w:rsidR="00D328EF" w:rsidRPr="00461964">
        <w:rPr>
          <w:rFonts w:ascii="Calibri" w:hAnsi="Calibri" w:cs="Calibri"/>
        </w:rPr>
        <w:t xml:space="preserve">, including </w:t>
      </w:r>
      <w:r w:rsidR="00BE43D3">
        <w:rPr>
          <w:rFonts w:ascii="Calibri" w:hAnsi="Calibri" w:cs="Calibri"/>
        </w:rPr>
        <w:t>organising</w:t>
      </w:r>
      <w:r w:rsidR="00D328EF" w:rsidRPr="00461964">
        <w:rPr>
          <w:rFonts w:ascii="Calibri" w:hAnsi="Calibri" w:cs="Calibri"/>
        </w:rPr>
        <w:t xml:space="preserve"> this review. Further activities relate to</w:t>
      </w:r>
      <w:r w:rsidRPr="00461964">
        <w:rPr>
          <w:rFonts w:ascii="Calibri" w:hAnsi="Calibri" w:cs="Calibri"/>
        </w:rPr>
        <w:t xml:space="preserve"> specific scientific projects not included in routine risk assessment work, such as nanotechnology</w:t>
      </w:r>
      <w:r w:rsidR="00F60596">
        <w:rPr>
          <w:rFonts w:ascii="Calibri" w:hAnsi="Calibri" w:cs="Calibri"/>
        </w:rPr>
        <w:t xml:space="preserve"> and </w:t>
      </w:r>
      <w:r w:rsidRPr="00461964">
        <w:rPr>
          <w:rFonts w:ascii="Calibri" w:hAnsi="Calibri" w:cs="Calibri"/>
        </w:rPr>
        <w:t>approaches for the risk assessment of compounds migrat</w:t>
      </w:r>
      <w:r w:rsidR="00496BCD">
        <w:rPr>
          <w:rFonts w:ascii="Calibri" w:hAnsi="Calibri" w:cs="Calibri"/>
        </w:rPr>
        <w:t>ing from packaging material</w:t>
      </w:r>
      <w:r w:rsidRPr="00461964">
        <w:rPr>
          <w:rFonts w:ascii="Calibri" w:hAnsi="Calibri" w:cs="Calibri"/>
        </w:rPr>
        <w:t xml:space="preserve">. Other work areas </w:t>
      </w:r>
      <w:r w:rsidR="00F60596">
        <w:rPr>
          <w:rFonts w:ascii="Calibri" w:hAnsi="Calibri" w:cs="Calibri"/>
        </w:rPr>
        <w:t xml:space="preserve">include the </w:t>
      </w:r>
      <w:r w:rsidRPr="00461964">
        <w:rPr>
          <w:rFonts w:ascii="Calibri" w:hAnsi="Calibri" w:cs="Calibri"/>
        </w:rPr>
        <w:t>coordination of international work (APEC, MOUs, Codex, visiting country delegations, etc.)</w:t>
      </w:r>
    </w:p>
    <w:p w:rsidR="00C21F02" w:rsidRPr="00461964" w:rsidRDefault="00CF4ACB" w:rsidP="00201CE8">
      <w:pPr>
        <w:spacing w:before="100" w:beforeAutospacing="1" w:after="100" w:afterAutospacing="1" w:line="276" w:lineRule="auto"/>
        <w:rPr>
          <w:rFonts w:ascii="Calibri" w:hAnsi="Calibri" w:cs="Calibri"/>
        </w:rPr>
      </w:pPr>
      <w:r w:rsidRPr="00BE43D3">
        <w:rPr>
          <w:rFonts w:ascii="Calibri" w:hAnsi="Calibri" w:cs="Calibri"/>
        </w:rPr>
        <w:t xml:space="preserve">In the context of risk assessment, </w:t>
      </w:r>
      <w:r w:rsidRPr="00461964">
        <w:rPr>
          <w:rFonts w:ascii="Calibri" w:hAnsi="Calibri" w:cs="Calibri"/>
        </w:rPr>
        <w:t>t</w:t>
      </w:r>
      <w:r w:rsidR="001A75AB" w:rsidRPr="00461964">
        <w:rPr>
          <w:rFonts w:ascii="Calibri" w:hAnsi="Calibri" w:cs="Calibri"/>
        </w:rPr>
        <w:t xml:space="preserve">he work on </w:t>
      </w:r>
      <w:r w:rsidR="001A75AB" w:rsidRPr="00201CE8">
        <w:rPr>
          <w:rFonts w:ascii="Calibri" w:hAnsi="Calibri" w:cs="Calibri"/>
        </w:rPr>
        <w:t>surveillance</w:t>
      </w:r>
      <w:r w:rsidR="001A75AB" w:rsidRPr="00461964">
        <w:rPr>
          <w:rFonts w:ascii="Calibri" w:hAnsi="Calibri" w:cs="Calibri"/>
        </w:rPr>
        <w:t xml:space="preserve"> </w:t>
      </w:r>
      <w:r w:rsidR="00BE43D3">
        <w:rPr>
          <w:rFonts w:ascii="Calibri" w:hAnsi="Calibri" w:cs="Calibri"/>
        </w:rPr>
        <w:t xml:space="preserve">provides </w:t>
      </w:r>
      <w:r w:rsidR="001A75AB" w:rsidRPr="00461964">
        <w:rPr>
          <w:rFonts w:ascii="Calibri" w:hAnsi="Calibri" w:cs="Calibri"/>
        </w:rPr>
        <w:t xml:space="preserve">important </w:t>
      </w:r>
      <w:r w:rsidR="00C421F2">
        <w:rPr>
          <w:rFonts w:ascii="Calibri" w:hAnsi="Calibri" w:cs="Calibri"/>
        </w:rPr>
        <w:t xml:space="preserve">data </w:t>
      </w:r>
      <w:r w:rsidR="00BE43D3">
        <w:rPr>
          <w:rFonts w:ascii="Calibri" w:hAnsi="Calibri" w:cs="Calibri"/>
        </w:rPr>
        <w:t>for</w:t>
      </w:r>
      <w:r w:rsidR="001A75AB" w:rsidRPr="00461964">
        <w:rPr>
          <w:rFonts w:ascii="Calibri" w:hAnsi="Calibri" w:cs="Calibri"/>
        </w:rPr>
        <w:t xml:space="preserve"> dietary modelling work. </w:t>
      </w:r>
      <w:r w:rsidR="00716DCB" w:rsidRPr="00461964">
        <w:rPr>
          <w:rFonts w:ascii="Calibri" w:hAnsi="Calibri" w:cs="Calibri"/>
        </w:rPr>
        <w:t xml:space="preserve">Regular total diet studies (TDS) and </w:t>
      </w:r>
      <w:r w:rsidR="00716DCB" w:rsidRPr="00201CE8">
        <w:rPr>
          <w:rFonts w:ascii="Calibri" w:hAnsi="Calibri" w:cs="Calibri"/>
        </w:rPr>
        <w:t>ad hoc</w:t>
      </w:r>
      <w:r w:rsidR="00716DCB" w:rsidRPr="00461964">
        <w:rPr>
          <w:rFonts w:ascii="Calibri" w:hAnsi="Calibri" w:cs="Calibri"/>
        </w:rPr>
        <w:t xml:space="preserve"> surveillance (also to address risk </w:t>
      </w:r>
      <w:r w:rsidR="00716DCB" w:rsidRPr="00461964">
        <w:rPr>
          <w:rFonts w:ascii="Calibri" w:hAnsi="Calibri" w:cs="Calibri"/>
        </w:rPr>
        <w:lastRenderedPageBreak/>
        <w:t>perception, e.g. BPA)</w:t>
      </w:r>
      <w:r w:rsidR="001F2EAE">
        <w:rPr>
          <w:rFonts w:ascii="Calibri" w:hAnsi="Calibri" w:cs="Calibri"/>
        </w:rPr>
        <w:t xml:space="preserve"> </w:t>
      </w:r>
      <w:proofErr w:type="gramStart"/>
      <w:r w:rsidR="001F2EAE">
        <w:rPr>
          <w:rFonts w:ascii="Calibri" w:hAnsi="Calibri" w:cs="Calibri"/>
        </w:rPr>
        <w:t>are</w:t>
      </w:r>
      <w:proofErr w:type="gramEnd"/>
      <w:r w:rsidR="001F2EAE">
        <w:rPr>
          <w:rFonts w:ascii="Calibri" w:hAnsi="Calibri" w:cs="Calibri"/>
        </w:rPr>
        <w:t xml:space="preserve"> </w:t>
      </w:r>
      <w:r w:rsidRPr="00461964">
        <w:rPr>
          <w:rFonts w:ascii="Calibri" w:hAnsi="Calibri" w:cs="Calibri"/>
        </w:rPr>
        <w:t xml:space="preserve">conducted.  </w:t>
      </w:r>
      <w:r w:rsidR="00542453">
        <w:rPr>
          <w:rFonts w:ascii="Calibri" w:hAnsi="Calibri" w:cs="Calibri"/>
        </w:rPr>
        <w:t>Some monitoring activities are collaborative projects with the</w:t>
      </w:r>
      <w:r w:rsidRPr="00461964">
        <w:rPr>
          <w:rFonts w:ascii="Calibri" w:hAnsi="Calibri" w:cs="Calibri"/>
        </w:rPr>
        <w:t xml:space="preserve"> </w:t>
      </w:r>
      <w:r w:rsidR="00BE43D3">
        <w:rPr>
          <w:rFonts w:ascii="Calibri" w:hAnsi="Calibri" w:cs="Calibri"/>
        </w:rPr>
        <w:t>s</w:t>
      </w:r>
      <w:r w:rsidRPr="00461964">
        <w:rPr>
          <w:rFonts w:ascii="Calibri" w:hAnsi="Calibri" w:cs="Calibri"/>
        </w:rPr>
        <w:t xml:space="preserve">tates and </w:t>
      </w:r>
      <w:r w:rsidR="00BE43D3">
        <w:rPr>
          <w:rFonts w:ascii="Calibri" w:hAnsi="Calibri" w:cs="Calibri"/>
        </w:rPr>
        <w:t>t</w:t>
      </w:r>
      <w:r w:rsidRPr="00461964">
        <w:rPr>
          <w:rFonts w:ascii="Calibri" w:hAnsi="Calibri" w:cs="Calibri"/>
        </w:rPr>
        <w:t>erritories</w:t>
      </w:r>
      <w:r w:rsidR="00542453">
        <w:rPr>
          <w:rFonts w:ascii="Calibri" w:hAnsi="Calibri" w:cs="Calibri"/>
        </w:rPr>
        <w:t xml:space="preserve"> and NZ MPI</w:t>
      </w:r>
      <w:r w:rsidRPr="00461964">
        <w:rPr>
          <w:rFonts w:ascii="Calibri" w:hAnsi="Calibri" w:cs="Calibri"/>
        </w:rPr>
        <w:t>.</w:t>
      </w:r>
      <w:r w:rsidR="00FF0685" w:rsidRPr="00461964">
        <w:rPr>
          <w:rFonts w:ascii="Calibri" w:hAnsi="Calibri" w:cs="Calibri"/>
        </w:rPr>
        <w:t xml:space="preserve"> </w:t>
      </w:r>
    </w:p>
    <w:p w:rsidR="00C21F02" w:rsidRPr="00461964" w:rsidRDefault="00C21F02" w:rsidP="00201CE8">
      <w:pPr>
        <w:spacing w:line="276" w:lineRule="auto"/>
        <w:rPr>
          <w:rFonts w:ascii="Calibri" w:hAnsi="Calibri" w:cs="Calibri"/>
        </w:rPr>
      </w:pPr>
      <w:r w:rsidRPr="00461964">
        <w:rPr>
          <w:rFonts w:ascii="Calibri" w:hAnsi="Calibri" w:cs="Calibri"/>
        </w:rPr>
        <w:t>Recent improvement</w:t>
      </w:r>
      <w:r w:rsidR="00753775" w:rsidRPr="00461964">
        <w:rPr>
          <w:rFonts w:ascii="Calibri" w:hAnsi="Calibri" w:cs="Calibri"/>
        </w:rPr>
        <w:t xml:space="preserve">s in this work area include the establishment of a </w:t>
      </w:r>
      <w:r w:rsidR="00FF0685" w:rsidRPr="00461964">
        <w:rPr>
          <w:rFonts w:ascii="Calibri" w:hAnsi="Calibri" w:cs="Calibri"/>
        </w:rPr>
        <w:t>network of analytical laboratories</w:t>
      </w:r>
      <w:r w:rsidR="00753775" w:rsidRPr="00461964">
        <w:rPr>
          <w:rFonts w:ascii="Calibri" w:hAnsi="Calibri" w:cs="Calibri"/>
        </w:rPr>
        <w:t xml:space="preserve">, which will allow </w:t>
      </w:r>
      <w:r w:rsidRPr="00461964">
        <w:rPr>
          <w:rFonts w:ascii="Calibri" w:hAnsi="Calibri" w:cs="Calibri"/>
        </w:rPr>
        <w:t>for</w:t>
      </w:r>
      <w:r w:rsidR="00753775" w:rsidRPr="00461964">
        <w:rPr>
          <w:rFonts w:ascii="Calibri" w:hAnsi="Calibri" w:cs="Calibri"/>
        </w:rPr>
        <w:t xml:space="preserve"> a faster response to incidents. </w:t>
      </w:r>
    </w:p>
    <w:p w:rsidR="00502815" w:rsidRDefault="00FC76E0" w:rsidP="00201CE8">
      <w:pPr>
        <w:spacing w:before="100" w:beforeAutospacing="1" w:after="100" w:afterAutospacing="1" w:line="276" w:lineRule="auto"/>
        <w:rPr>
          <w:rFonts w:ascii="Calibri" w:hAnsi="Calibri" w:cs="Calibri"/>
        </w:rPr>
      </w:pPr>
      <w:r>
        <w:rPr>
          <w:rFonts w:ascii="Calibri" w:hAnsi="Calibri" w:cs="Calibri"/>
        </w:rPr>
        <w:t>The m</w:t>
      </w:r>
      <w:r w:rsidR="00CF4ACB" w:rsidRPr="00461964">
        <w:rPr>
          <w:rFonts w:ascii="Calibri" w:hAnsi="Calibri" w:cs="Calibri"/>
        </w:rPr>
        <w:t xml:space="preserve">ain challenge is to prioritize the work (surveillance </w:t>
      </w:r>
      <w:r w:rsidR="00F4510E" w:rsidRPr="00461964">
        <w:rPr>
          <w:rFonts w:ascii="Calibri" w:hAnsi="Calibri" w:cs="Calibri"/>
        </w:rPr>
        <w:t xml:space="preserve">is </w:t>
      </w:r>
      <w:r w:rsidR="00CF4ACB" w:rsidRPr="00461964">
        <w:rPr>
          <w:rFonts w:ascii="Calibri" w:hAnsi="Calibri" w:cs="Calibri"/>
        </w:rPr>
        <w:t>very costly), in particular because it is a small group with quite limited resources</w:t>
      </w:r>
      <w:r w:rsidR="00F4510E" w:rsidRPr="00461964">
        <w:rPr>
          <w:rFonts w:ascii="Calibri" w:hAnsi="Calibri" w:cs="Calibri"/>
        </w:rPr>
        <w:t xml:space="preserve"> and</w:t>
      </w:r>
      <w:r w:rsidR="00CF4ACB" w:rsidRPr="00461964">
        <w:rPr>
          <w:rFonts w:ascii="Calibri" w:hAnsi="Calibri" w:cs="Calibri"/>
        </w:rPr>
        <w:t xml:space="preserve"> in light of public perceptions</w:t>
      </w:r>
      <w:r w:rsidR="00BE43D3">
        <w:rPr>
          <w:rFonts w:ascii="Calibri" w:hAnsi="Calibri" w:cs="Calibri"/>
        </w:rPr>
        <w:t>,</w:t>
      </w:r>
      <w:r w:rsidR="00CF4ACB" w:rsidRPr="00461964">
        <w:rPr>
          <w:rFonts w:ascii="Calibri" w:hAnsi="Calibri" w:cs="Calibri"/>
        </w:rPr>
        <w:t xml:space="preserve"> </w:t>
      </w:r>
      <w:r w:rsidR="00F4510E" w:rsidRPr="00461964">
        <w:rPr>
          <w:rFonts w:ascii="Calibri" w:hAnsi="Calibri" w:cs="Calibri"/>
        </w:rPr>
        <w:t xml:space="preserve">which are </w:t>
      </w:r>
      <w:r w:rsidR="00CF4ACB" w:rsidRPr="00461964">
        <w:rPr>
          <w:rFonts w:ascii="Calibri" w:hAnsi="Calibri" w:cs="Calibri"/>
        </w:rPr>
        <w:t xml:space="preserve">sometimes not aligned </w:t>
      </w:r>
      <w:r w:rsidR="00402DB6" w:rsidRPr="00461964">
        <w:rPr>
          <w:rFonts w:ascii="Calibri" w:hAnsi="Calibri" w:cs="Calibri"/>
        </w:rPr>
        <w:t xml:space="preserve">with real public health needs. </w:t>
      </w:r>
      <w:r w:rsidR="008942CD" w:rsidRPr="00461964">
        <w:rPr>
          <w:rFonts w:ascii="Calibri" w:hAnsi="Calibri" w:cs="Calibri"/>
        </w:rPr>
        <w:t xml:space="preserve">Involvement of risk management early on when deciding and prioritizing surveillance work is important, to </w:t>
      </w:r>
      <w:r w:rsidR="00542453">
        <w:rPr>
          <w:rFonts w:ascii="Calibri" w:hAnsi="Calibri" w:cs="Calibri"/>
        </w:rPr>
        <w:t>ensure</w:t>
      </w:r>
      <w:r w:rsidR="00542453" w:rsidRPr="00461964">
        <w:rPr>
          <w:rFonts w:ascii="Calibri" w:hAnsi="Calibri" w:cs="Calibri"/>
        </w:rPr>
        <w:t xml:space="preserve"> </w:t>
      </w:r>
      <w:r w:rsidR="008942CD" w:rsidRPr="00461964">
        <w:rPr>
          <w:rFonts w:ascii="Calibri" w:hAnsi="Calibri" w:cs="Calibri"/>
        </w:rPr>
        <w:t xml:space="preserve">that surveillance studies are targeted to the actual </w:t>
      </w:r>
      <w:r w:rsidR="00E419CA" w:rsidRPr="00461964">
        <w:rPr>
          <w:rFonts w:ascii="Calibri" w:hAnsi="Calibri" w:cs="Calibri"/>
        </w:rPr>
        <w:t xml:space="preserve">concern, and that the surveillance data </w:t>
      </w:r>
      <w:r w:rsidR="00BE43D3">
        <w:rPr>
          <w:rFonts w:ascii="Calibri" w:hAnsi="Calibri" w:cs="Calibri"/>
        </w:rPr>
        <w:t xml:space="preserve">is </w:t>
      </w:r>
      <w:r w:rsidR="00E419CA" w:rsidRPr="00461964">
        <w:rPr>
          <w:rFonts w:ascii="Calibri" w:hAnsi="Calibri" w:cs="Calibri"/>
        </w:rPr>
        <w:t xml:space="preserve">not being over interpreted. </w:t>
      </w:r>
      <w:r w:rsidR="00402DB6" w:rsidRPr="00461964">
        <w:rPr>
          <w:rFonts w:ascii="Calibri" w:hAnsi="Calibri" w:cs="Calibri"/>
        </w:rPr>
        <w:t xml:space="preserve">Reporting of data </w:t>
      </w:r>
      <w:r>
        <w:rPr>
          <w:rFonts w:ascii="Calibri" w:hAnsi="Calibri" w:cs="Calibri"/>
        </w:rPr>
        <w:t xml:space="preserve">with </w:t>
      </w:r>
      <w:r w:rsidR="00402DB6" w:rsidRPr="00461964">
        <w:rPr>
          <w:rFonts w:ascii="Calibri" w:hAnsi="Calibri" w:cs="Calibri"/>
        </w:rPr>
        <w:t xml:space="preserve">the appropriate level of detail depending on type and purpose of survey can be challenging and the </w:t>
      </w:r>
      <w:r w:rsidR="00402DB6" w:rsidRPr="00502815">
        <w:rPr>
          <w:rFonts w:ascii="Calibri" w:hAnsi="Calibri" w:cs="Calibri"/>
        </w:rPr>
        <w:t>development of a concise guidance on this could be considered</w:t>
      </w:r>
      <w:r w:rsidR="00402DB6" w:rsidRPr="00461964">
        <w:rPr>
          <w:rFonts w:ascii="Calibri" w:hAnsi="Calibri" w:cs="Calibri"/>
        </w:rPr>
        <w:t xml:space="preserve">. </w:t>
      </w:r>
    </w:p>
    <w:p w:rsidR="00402DB6" w:rsidRPr="00461964" w:rsidRDefault="00402DB6" w:rsidP="00201CE8">
      <w:pPr>
        <w:spacing w:before="100" w:beforeAutospacing="1" w:after="100" w:afterAutospacing="1" w:line="276" w:lineRule="auto"/>
        <w:rPr>
          <w:rFonts w:ascii="Calibri" w:hAnsi="Calibri" w:cs="Calibri"/>
        </w:rPr>
      </w:pPr>
      <w:r w:rsidRPr="00461964">
        <w:rPr>
          <w:rFonts w:ascii="Calibri" w:hAnsi="Calibri" w:cs="Calibri"/>
        </w:rPr>
        <w:t xml:space="preserve">A particularly difficult area related to surveillance and dietary exposure assessment </w:t>
      </w:r>
      <w:r w:rsidR="00EE0155" w:rsidRPr="00461964">
        <w:rPr>
          <w:rFonts w:ascii="Calibri" w:hAnsi="Calibri" w:cs="Calibri"/>
        </w:rPr>
        <w:t xml:space="preserve">is </w:t>
      </w:r>
      <w:r w:rsidR="00502815">
        <w:rPr>
          <w:rFonts w:ascii="Calibri" w:hAnsi="Calibri" w:cs="Calibri"/>
        </w:rPr>
        <w:t>interpretation and</w:t>
      </w:r>
      <w:r w:rsidR="00EE0155" w:rsidRPr="00461964">
        <w:rPr>
          <w:rFonts w:ascii="Calibri" w:hAnsi="Calibri" w:cs="Calibri"/>
        </w:rPr>
        <w:t xml:space="preserve"> c</w:t>
      </w:r>
      <w:r w:rsidR="005F74B6">
        <w:rPr>
          <w:rFonts w:ascii="Calibri" w:hAnsi="Calibri" w:cs="Calibri"/>
        </w:rPr>
        <w:t xml:space="preserve">ommunication when health-based </w:t>
      </w:r>
      <w:r w:rsidR="00EE0155" w:rsidRPr="00461964">
        <w:rPr>
          <w:rFonts w:ascii="Calibri" w:hAnsi="Calibri" w:cs="Calibri"/>
        </w:rPr>
        <w:t>guidance values (ADI, TDI) are exceeded</w:t>
      </w:r>
      <w:r w:rsidR="00C421F2">
        <w:rPr>
          <w:rFonts w:ascii="Calibri" w:hAnsi="Calibri" w:cs="Calibri"/>
        </w:rPr>
        <w:t xml:space="preserve"> or when a margin of exposure (</w:t>
      </w:r>
      <w:proofErr w:type="spellStart"/>
      <w:r w:rsidR="00C421F2">
        <w:rPr>
          <w:rFonts w:ascii="Calibri" w:hAnsi="Calibri" w:cs="Calibri"/>
        </w:rPr>
        <w:t>MoE</w:t>
      </w:r>
      <w:proofErr w:type="spellEnd"/>
      <w:r w:rsidR="00C421F2">
        <w:rPr>
          <w:rFonts w:ascii="Calibri" w:hAnsi="Calibri" w:cs="Calibri"/>
        </w:rPr>
        <w:t>) approach is used in the risk assessment</w:t>
      </w:r>
      <w:r w:rsidR="00EE0155" w:rsidRPr="00461964">
        <w:rPr>
          <w:rFonts w:ascii="Calibri" w:hAnsi="Calibri" w:cs="Calibri"/>
        </w:rPr>
        <w:t xml:space="preserve">. </w:t>
      </w:r>
      <w:r w:rsidR="005F74B6" w:rsidRPr="00201CE8">
        <w:rPr>
          <w:rFonts w:ascii="Calibri" w:hAnsi="Calibri" w:cs="Calibri"/>
        </w:rPr>
        <w:t xml:space="preserve">The development of </w:t>
      </w:r>
      <w:r w:rsidR="00502815" w:rsidRPr="00201CE8">
        <w:rPr>
          <w:rFonts w:ascii="Calibri" w:hAnsi="Calibri" w:cs="Calibri"/>
        </w:rPr>
        <w:t>guidance</w:t>
      </w:r>
      <w:r w:rsidR="00EE0155" w:rsidRPr="00201CE8">
        <w:rPr>
          <w:rFonts w:ascii="Calibri" w:hAnsi="Calibri" w:cs="Calibri"/>
        </w:rPr>
        <w:t xml:space="preserve"> on interpretation of data</w:t>
      </w:r>
      <w:r w:rsidR="00502815" w:rsidRPr="00201CE8">
        <w:rPr>
          <w:rFonts w:ascii="Calibri" w:hAnsi="Calibri" w:cs="Calibri"/>
        </w:rPr>
        <w:t xml:space="preserve">, taking exposure assessment and hazard assessment into account, </w:t>
      </w:r>
      <w:r w:rsidR="00EE0155" w:rsidRPr="00201CE8">
        <w:rPr>
          <w:rFonts w:ascii="Calibri" w:hAnsi="Calibri" w:cs="Calibri"/>
        </w:rPr>
        <w:t xml:space="preserve">and communication of relevant aspects in this context could be useful. </w:t>
      </w:r>
      <w:r w:rsidR="002D7217" w:rsidRPr="00201CE8">
        <w:rPr>
          <w:rFonts w:ascii="Calibri" w:hAnsi="Calibri" w:cs="Calibri"/>
        </w:rPr>
        <w:t xml:space="preserve">It is understood that such guidance </w:t>
      </w:r>
      <w:r w:rsidR="00492F3B" w:rsidRPr="00201CE8">
        <w:rPr>
          <w:rFonts w:ascii="Calibri" w:hAnsi="Calibri" w:cs="Calibri"/>
        </w:rPr>
        <w:t>has been developed</w:t>
      </w:r>
      <w:r w:rsidR="00492F3B" w:rsidRPr="00201CE8">
        <w:footnoteReference w:id="1"/>
      </w:r>
      <w:r w:rsidR="00A07CC0" w:rsidRPr="00201CE8">
        <w:rPr>
          <w:rFonts w:ascii="Calibri" w:hAnsi="Calibri" w:cs="Calibri"/>
        </w:rPr>
        <w:t xml:space="preserve"> (although not considered as part of this review)</w:t>
      </w:r>
      <w:r w:rsidR="00492F3B" w:rsidRPr="00201CE8">
        <w:rPr>
          <w:rFonts w:ascii="Calibri" w:hAnsi="Calibri" w:cs="Calibri"/>
        </w:rPr>
        <w:t xml:space="preserve">, and application of this guidance was being </w:t>
      </w:r>
      <w:r w:rsidR="00CF65D2" w:rsidRPr="00201CE8">
        <w:rPr>
          <w:rFonts w:ascii="Calibri" w:hAnsi="Calibri" w:cs="Calibri"/>
        </w:rPr>
        <w:t>trial</w:t>
      </w:r>
      <w:r w:rsidR="00201CE8">
        <w:rPr>
          <w:rFonts w:ascii="Calibri" w:hAnsi="Calibri" w:cs="Calibri"/>
        </w:rPr>
        <w:t>l</w:t>
      </w:r>
      <w:r w:rsidR="00CF65D2" w:rsidRPr="00201CE8">
        <w:rPr>
          <w:rFonts w:ascii="Calibri" w:hAnsi="Calibri" w:cs="Calibri"/>
        </w:rPr>
        <w:t>ed</w:t>
      </w:r>
      <w:r w:rsidR="00492F3B" w:rsidRPr="00201CE8">
        <w:rPr>
          <w:rFonts w:ascii="Calibri" w:hAnsi="Calibri" w:cs="Calibri"/>
        </w:rPr>
        <w:t xml:space="preserve"> by FSANZ at the time this review was undertaken,</w:t>
      </w:r>
      <w:r w:rsidR="002D7217" w:rsidRPr="00201CE8">
        <w:rPr>
          <w:rFonts w:ascii="Calibri" w:hAnsi="Calibri" w:cs="Calibri"/>
        </w:rPr>
        <w:t xml:space="preserve"> and this will therefore not be included in the list of recommendations.</w:t>
      </w:r>
    </w:p>
    <w:p w:rsidR="00105FAA" w:rsidRDefault="007511B9" w:rsidP="007511B9">
      <w:pPr>
        <w:pStyle w:val="Heading3"/>
      </w:pPr>
      <w:bookmarkStart w:id="64" w:name="_Toc332960016"/>
      <w:r>
        <w:t>6.2.8</w:t>
      </w:r>
      <w:r w:rsidR="00105FAA">
        <w:t xml:space="preserve">. </w:t>
      </w:r>
      <w:r w:rsidR="00105FAA" w:rsidRPr="007511B9">
        <w:t>Consumer</w:t>
      </w:r>
      <w:r w:rsidR="00105FAA">
        <w:t xml:space="preserve"> and </w:t>
      </w:r>
      <w:r w:rsidR="00BE43D3">
        <w:t>s</w:t>
      </w:r>
      <w:r w:rsidR="00105FAA">
        <w:t xml:space="preserve">ocial </w:t>
      </w:r>
      <w:r w:rsidR="00BE43D3" w:rsidRPr="00BE43D3">
        <w:t>s</w:t>
      </w:r>
      <w:r w:rsidR="00105FAA">
        <w:t>cience</w:t>
      </w:r>
      <w:bookmarkEnd w:id="64"/>
    </w:p>
    <w:p w:rsidR="00105FAA" w:rsidRPr="00201CE8" w:rsidRDefault="00BE43D3" w:rsidP="00201CE8">
      <w:pPr>
        <w:spacing w:before="100" w:beforeAutospacing="1" w:after="100" w:afterAutospacing="1" w:line="276" w:lineRule="auto"/>
        <w:rPr>
          <w:rFonts w:ascii="Calibri" w:hAnsi="Calibri" w:cs="Calibri"/>
        </w:rPr>
      </w:pPr>
      <w:r w:rsidRPr="00201CE8">
        <w:rPr>
          <w:rFonts w:ascii="Calibri" w:hAnsi="Calibri" w:cs="Calibri"/>
        </w:rPr>
        <w:t>This</w:t>
      </w:r>
      <w:r w:rsidR="00105FAA" w:rsidRPr="00201CE8">
        <w:rPr>
          <w:rFonts w:ascii="Calibri" w:hAnsi="Calibri" w:cs="Calibri"/>
        </w:rPr>
        <w:t xml:space="preserve"> de</w:t>
      </w:r>
      <w:r w:rsidR="001F2EAE" w:rsidRPr="00201CE8">
        <w:rPr>
          <w:rFonts w:ascii="Calibri" w:hAnsi="Calibri" w:cs="Calibri"/>
        </w:rPr>
        <w:t>signated unit provides specializ</w:t>
      </w:r>
      <w:r w:rsidR="00105FAA" w:rsidRPr="00201CE8">
        <w:rPr>
          <w:rFonts w:ascii="Calibri" w:hAnsi="Calibri" w:cs="Calibri"/>
        </w:rPr>
        <w:t>ed advice on consumer and social science issues to a range of major stand</w:t>
      </w:r>
      <w:r w:rsidR="007438C4" w:rsidRPr="00201CE8">
        <w:rPr>
          <w:rFonts w:ascii="Calibri" w:hAnsi="Calibri" w:cs="Calibri"/>
        </w:rPr>
        <w:t>ard-development projects. A</w:t>
      </w:r>
      <w:r w:rsidR="00105FAA" w:rsidRPr="00201CE8">
        <w:rPr>
          <w:rFonts w:ascii="Calibri" w:hAnsi="Calibri" w:cs="Calibri"/>
        </w:rPr>
        <w:t>dvice is derived from commissioned studies into consumer behaviour and/or from critical analysis of available information. This area of work is distinct and less integrated in the other risk assessment areas</w:t>
      </w:r>
      <w:r w:rsidR="007438C4" w:rsidRPr="00201CE8">
        <w:rPr>
          <w:rFonts w:ascii="Calibri" w:hAnsi="Calibri" w:cs="Calibri"/>
        </w:rPr>
        <w:t>,</w:t>
      </w:r>
      <w:r w:rsidR="00105FAA" w:rsidRPr="00201CE8">
        <w:rPr>
          <w:rFonts w:ascii="Calibri" w:hAnsi="Calibri" w:cs="Calibri"/>
        </w:rPr>
        <w:t xml:space="preserve"> and was not considered in detail as part of this review.  </w:t>
      </w:r>
    </w:p>
    <w:p w:rsidR="004378C5" w:rsidRPr="00867C32" w:rsidRDefault="007511B9" w:rsidP="008A3A42">
      <w:pPr>
        <w:pStyle w:val="Heading3"/>
      </w:pPr>
      <w:bookmarkStart w:id="65" w:name="_Toc322935529"/>
      <w:bookmarkStart w:id="66" w:name="_Toc332960017"/>
      <w:r>
        <w:t>6.2.9</w:t>
      </w:r>
      <w:r w:rsidR="00A05E51">
        <w:t xml:space="preserve">. </w:t>
      </w:r>
      <w:r w:rsidR="00867C32" w:rsidRPr="00867C32">
        <w:t>Combined risk assessments</w:t>
      </w:r>
      <w:bookmarkEnd w:id="65"/>
      <w:bookmarkEnd w:id="66"/>
    </w:p>
    <w:p w:rsidR="005726AC" w:rsidRPr="00201CE8" w:rsidRDefault="00867C32" w:rsidP="00201CE8">
      <w:pPr>
        <w:spacing w:before="100" w:beforeAutospacing="1" w:after="100" w:afterAutospacing="1" w:line="276" w:lineRule="auto"/>
        <w:rPr>
          <w:rFonts w:ascii="Calibri" w:hAnsi="Calibri" w:cs="Calibri"/>
        </w:rPr>
      </w:pPr>
      <w:r w:rsidRPr="00461964">
        <w:rPr>
          <w:rFonts w:ascii="Calibri" w:hAnsi="Calibri" w:cs="Calibri"/>
        </w:rPr>
        <w:t xml:space="preserve">Increasingly food risk assessment questions get more complex and require </w:t>
      </w:r>
      <w:r w:rsidR="00BE43D3">
        <w:rPr>
          <w:rFonts w:ascii="Calibri" w:hAnsi="Calibri" w:cs="Calibri"/>
        </w:rPr>
        <w:t xml:space="preserve">input </w:t>
      </w:r>
      <w:r w:rsidRPr="00461964">
        <w:rPr>
          <w:rFonts w:ascii="Calibri" w:hAnsi="Calibri" w:cs="Calibri"/>
        </w:rPr>
        <w:t xml:space="preserve">from several of the areas described above. This has led to </w:t>
      </w:r>
      <w:r w:rsidR="000F4CBA" w:rsidRPr="00461964">
        <w:rPr>
          <w:rFonts w:ascii="Calibri" w:hAnsi="Calibri" w:cs="Calibri"/>
        </w:rPr>
        <w:t>the development</w:t>
      </w:r>
      <w:r w:rsidRPr="00461964">
        <w:rPr>
          <w:rFonts w:ascii="Calibri" w:hAnsi="Calibri" w:cs="Calibri"/>
        </w:rPr>
        <w:t xml:space="preserve"> of combined risk assessment </w:t>
      </w:r>
      <w:r w:rsidR="00542453">
        <w:rPr>
          <w:rFonts w:ascii="Calibri" w:hAnsi="Calibri" w:cs="Calibri"/>
        </w:rPr>
        <w:t xml:space="preserve">reports </w:t>
      </w:r>
      <w:r w:rsidRPr="00461964">
        <w:rPr>
          <w:rFonts w:ascii="Calibri" w:hAnsi="Calibri" w:cs="Calibri"/>
        </w:rPr>
        <w:t>at FSANZ</w:t>
      </w:r>
      <w:r w:rsidR="00496BCD">
        <w:rPr>
          <w:rFonts w:ascii="Calibri" w:hAnsi="Calibri" w:cs="Calibri"/>
        </w:rPr>
        <w:t>, for example see the risk assessment report on the equivalence of</w:t>
      </w:r>
      <w:r w:rsidR="00FC76E0">
        <w:rPr>
          <w:rFonts w:ascii="Calibri" w:hAnsi="Calibri" w:cs="Calibri"/>
        </w:rPr>
        <w:t xml:space="preserve"> </w:t>
      </w:r>
      <w:r w:rsidR="00496BCD">
        <w:rPr>
          <w:rFonts w:ascii="Calibri" w:hAnsi="Calibri" w:cs="Calibri"/>
        </w:rPr>
        <w:t>plant sterols, stanols and their fatty acid esters</w:t>
      </w:r>
      <w:r w:rsidR="00496BCD" w:rsidRPr="00201CE8">
        <w:footnoteReference w:id="2"/>
      </w:r>
      <w:r w:rsidR="00496BCD">
        <w:rPr>
          <w:rFonts w:ascii="Calibri" w:hAnsi="Calibri" w:cs="Calibri"/>
        </w:rPr>
        <w:t xml:space="preserve">.  </w:t>
      </w:r>
    </w:p>
    <w:p w:rsidR="00867C32" w:rsidRPr="00201CE8" w:rsidRDefault="002E2DB6" w:rsidP="00201CE8">
      <w:pPr>
        <w:spacing w:before="100" w:beforeAutospacing="1" w:after="100" w:afterAutospacing="1" w:line="276" w:lineRule="auto"/>
        <w:rPr>
          <w:rFonts w:ascii="Calibri" w:hAnsi="Calibri" w:cs="Calibri"/>
        </w:rPr>
      </w:pPr>
      <w:r w:rsidRPr="00461964">
        <w:rPr>
          <w:rFonts w:ascii="Calibri" w:hAnsi="Calibri" w:cs="Calibri"/>
        </w:rPr>
        <w:lastRenderedPageBreak/>
        <w:t>Moreover, there is an increasing need to take risk benefit considerations into account</w:t>
      </w:r>
      <w:r w:rsidR="0005311D">
        <w:rPr>
          <w:rFonts w:ascii="Calibri" w:hAnsi="Calibri" w:cs="Calibri"/>
        </w:rPr>
        <w:t xml:space="preserve"> (e.g. nitrate risk assessment)</w:t>
      </w:r>
      <w:r w:rsidRPr="00461964">
        <w:rPr>
          <w:rFonts w:ascii="Calibri" w:hAnsi="Calibri" w:cs="Calibri"/>
        </w:rPr>
        <w:t xml:space="preserve">, which further increases the complexity as well as cost for </w:t>
      </w:r>
      <w:r w:rsidR="00E27CB8">
        <w:rPr>
          <w:rFonts w:ascii="Calibri" w:hAnsi="Calibri" w:cs="Calibri"/>
        </w:rPr>
        <w:t xml:space="preserve">the </w:t>
      </w:r>
      <w:r w:rsidRPr="00461964">
        <w:rPr>
          <w:rFonts w:ascii="Calibri" w:hAnsi="Calibri" w:cs="Calibri"/>
        </w:rPr>
        <w:t xml:space="preserve">assessments. </w:t>
      </w:r>
      <w:r w:rsidR="0005311D">
        <w:rPr>
          <w:rFonts w:ascii="Calibri" w:hAnsi="Calibri" w:cs="Calibri"/>
        </w:rPr>
        <w:t xml:space="preserve"> </w:t>
      </w:r>
      <w:r w:rsidR="00867C32" w:rsidRPr="00461964">
        <w:rPr>
          <w:rFonts w:ascii="Calibri" w:hAnsi="Calibri" w:cs="Calibri"/>
        </w:rPr>
        <w:t>Strong points are that the key relevant expertise is available in house and project team</w:t>
      </w:r>
      <w:r w:rsidR="000F4CBA" w:rsidRPr="00461964">
        <w:rPr>
          <w:rFonts w:ascii="Calibri" w:hAnsi="Calibri" w:cs="Calibri"/>
        </w:rPr>
        <w:t xml:space="preserve">s can be easily </w:t>
      </w:r>
      <w:r w:rsidR="00E27CB8">
        <w:rPr>
          <w:rFonts w:ascii="Calibri" w:hAnsi="Calibri" w:cs="Calibri"/>
        </w:rPr>
        <w:t>assembled</w:t>
      </w:r>
      <w:r w:rsidR="00867C32" w:rsidRPr="00461964">
        <w:rPr>
          <w:rFonts w:ascii="Calibri" w:hAnsi="Calibri" w:cs="Calibri"/>
        </w:rPr>
        <w:t xml:space="preserve"> that can cover all relevant aspects.</w:t>
      </w:r>
    </w:p>
    <w:p w:rsidR="00BA1141" w:rsidRPr="00201CE8" w:rsidRDefault="00424651" w:rsidP="00201CE8">
      <w:pPr>
        <w:spacing w:before="100" w:beforeAutospacing="1" w:after="100" w:afterAutospacing="1" w:line="276" w:lineRule="auto"/>
        <w:rPr>
          <w:rFonts w:ascii="Calibri" w:hAnsi="Calibri" w:cs="Calibri"/>
        </w:rPr>
      </w:pPr>
      <w:r w:rsidRPr="00201CE8">
        <w:rPr>
          <w:rFonts w:ascii="Calibri" w:hAnsi="Calibri" w:cs="Calibri"/>
        </w:rPr>
        <w:t xml:space="preserve">Challenges </w:t>
      </w:r>
      <w:r w:rsidR="000F4CBA" w:rsidRPr="00201CE8">
        <w:rPr>
          <w:rFonts w:ascii="Calibri" w:hAnsi="Calibri" w:cs="Calibri"/>
        </w:rPr>
        <w:t>in this are</w:t>
      </w:r>
      <w:r w:rsidR="00513528" w:rsidRPr="00201CE8">
        <w:rPr>
          <w:rFonts w:ascii="Calibri" w:hAnsi="Calibri" w:cs="Calibri"/>
        </w:rPr>
        <w:t>a</w:t>
      </w:r>
      <w:r w:rsidR="000F4CBA" w:rsidRPr="00201CE8">
        <w:rPr>
          <w:rFonts w:ascii="Calibri" w:hAnsi="Calibri" w:cs="Calibri"/>
        </w:rPr>
        <w:t xml:space="preserve"> relate to the early identification of all relevant aspects, as well as to the structure of the combined risk assessment report. </w:t>
      </w:r>
      <w:r w:rsidR="007B7377" w:rsidRPr="00201CE8">
        <w:rPr>
          <w:rFonts w:ascii="Calibri" w:hAnsi="Calibri" w:cs="Calibri"/>
        </w:rPr>
        <w:t xml:space="preserve">To address the first point, there is a </w:t>
      </w:r>
      <w:r w:rsidR="007B7377" w:rsidRPr="00461964">
        <w:rPr>
          <w:rFonts w:ascii="Calibri" w:hAnsi="Calibri" w:cs="Calibri"/>
        </w:rPr>
        <w:t xml:space="preserve">need for a </w:t>
      </w:r>
      <w:r w:rsidR="00C03FA6">
        <w:rPr>
          <w:rFonts w:ascii="Calibri" w:hAnsi="Calibri" w:cs="Calibri"/>
        </w:rPr>
        <w:t>clear and practicable</w:t>
      </w:r>
      <w:r w:rsidR="007B7377" w:rsidRPr="00461964">
        <w:rPr>
          <w:rFonts w:ascii="Calibri" w:hAnsi="Calibri" w:cs="Calibri"/>
        </w:rPr>
        <w:t xml:space="preserve"> approach for</w:t>
      </w:r>
      <w:r w:rsidR="00C03FA6">
        <w:rPr>
          <w:rFonts w:ascii="Calibri" w:hAnsi="Calibri" w:cs="Calibri"/>
        </w:rPr>
        <w:t xml:space="preserve"> early</w:t>
      </w:r>
      <w:r w:rsidR="007B7377" w:rsidRPr="00461964">
        <w:rPr>
          <w:rFonts w:ascii="Calibri" w:hAnsi="Calibri" w:cs="Calibri"/>
        </w:rPr>
        <w:t xml:space="preserve"> input and better integration of all relevant expertise early on in the risk assessment planning process. </w:t>
      </w:r>
      <w:r w:rsidR="007B7377" w:rsidRPr="00201CE8">
        <w:rPr>
          <w:rFonts w:ascii="Calibri" w:hAnsi="Calibri" w:cs="Calibri"/>
        </w:rPr>
        <w:t xml:space="preserve"> </w:t>
      </w:r>
      <w:r w:rsidR="00513528" w:rsidRPr="00201CE8">
        <w:rPr>
          <w:rFonts w:ascii="Calibri" w:hAnsi="Calibri" w:cs="Calibri"/>
        </w:rPr>
        <w:t xml:space="preserve">Regarding the report, the problem is that </w:t>
      </w:r>
      <w:r w:rsidRPr="00201CE8">
        <w:rPr>
          <w:rFonts w:ascii="Calibri" w:hAnsi="Calibri" w:cs="Calibri"/>
        </w:rPr>
        <w:t>each risk assessment section is prepared separately and then combined in</w:t>
      </w:r>
      <w:r w:rsidR="00513528" w:rsidRPr="00201CE8">
        <w:rPr>
          <w:rFonts w:ascii="Calibri" w:hAnsi="Calibri" w:cs="Calibri"/>
        </w:rPr>
        <w:t>to one</w:t>
      </w:r>
      <w:r w:rsidRPr="00201CE8">
        <w:rPr>
          <w:rFonts w:ascii="Calibri" w:hAnsi="Calibri" w:cs="Calibri"/>
        </w:rPr>
        <w:t xml:space="preserve"> report. This can lead to some repetition, </w:t>
      </w:r>
      <w:r w:rsidR="00867C32" w:rsidRPr="00461964">
        <w:rPr>
          <w:rFonts w:ascii="Calibri" w:hAnsi="Calibri" w:cs="Calibri"/>
        </w:rPr>
        <w:t xml:space="preserve">e.g. each section has a summary and conclusions, that are then </w:t>
      </w:r>
      <w:r w:rsidRPr="00461964">
        <w:rPr>
          <w:rFonts w:ascii="Calibri" w:hAnsi="Calibri" w:cs="Calibri"/>
        </w:rPr>
        <w:t xml:space="preserve">repeated in the overall summary, or introductory and background text can be repetitive. This can make it quite challenging for the project leader to combine the different parts into one final </w:t>
      </w:r>
      <w:r w:rsidR="008F0370" w:rsidRPr="00461964">
        <w:rPr>
          <w:rFonts w:ascii="Calibri" w:hAnsi="Calibri" w:cs="Calibri"/>
        </w:rPr>
        <w:t xml:space="preserve">concise </w:t>
      </w:r>
      <w:r w:rsidRPr="00461964">
        <w:rPr>
          <w:rFonts w:ascii="Calibri" w:hAnsi="Calibri" w:cs="Calibri"/>
        </w:rPr>
        <w:t xml:space="preserve">report. </w:t>
      </w:r>
      <w:r w:rsidR="00513528" w:rsidRPr="00461964">
        <w:rPr>
          <w:rFonts w:ascii="Calibri" w:hAnsi="Calibri" w:cs="Calibri"/>
        </w:rPr>
        <w:t xml:space="preserve">Also there may be some problems with terminology which may be used somewhat differently in the different sections. </w:t>
      </w:r>
      <w:r w:rsidR="00BA1141" w:rsidRPr="00461964">
        <w:rPr>
          <w:rFonts w:ascii="Calibri" w:hAnsi="Calibri" w:cs="Calibri"/>
        </w:rPr>
        <w:t xml:space="preserve">When risk and benefit considerations are </w:t>
      </w:r>
      <w:r w:rsidR="003C0B7D" w:rsidRPr="00461964">
        <w:rPr>
          <w:rFonts w:ascii="Calibri" w:hAnsi="Calibri" w:cs="Calibri"/>
        </w:rPr>
        <w:t>included they need a clear</w:t>
      </w:r>
      <w:r w:rsidR="00BA1141" w:rsidRPr="00461964">
        <w:rPr>
          <w:rFonts w:ascii="Calibri" w:hAnsi="Calibri" w:cs="Calibri"/>
        </w:rPr>
        <w:t xml:space="preserve"> rationale and description on decisions</w:t>
      </w:r>
      <w:r w:rsidR="003C0B7D" w:rsidRPr="00461964">
        <w:rPr>
          <w:rFonts w:ascii="Calibri" w:hAnsi="Calibri" w:cs="Calibri"/>
        </w:rPr>
        <w:t>.</w:t>
      </w:r>
    </w:p>
    <w:p w:rsidR="00F73038" w:rsidRPr="00A03138" w:rsidRDefault="007511B9" w:rsidP="008A3A42">
      <w:pPr>
        <w:pStyle w:val="Heading3"/>
      </w:pPr>
      <w:bookmarkStart w:id="67" w:name="_Toc332960018"/>
      <w:r>
        <w:t>6.2.10</w:t>
      </w:r>
      <w:r w:rsidR="00E471E7">
        <w:t xml:space="preserve">. </w:t>
      </w:r>
      <w:r w:rsidR="00867C32" w:rsidRPr="000C52E0">
        <w:t>Recommendation</w:t>
      </w:r>
      <w:r w:rsidR="00E13DC8" w:rsidRPr="000C52E0">
        <w:t xml:space="preserve">s for </w:t>
      </w:r>
      <w:r w:rsidR="00365A5E" w:rsidRPr="000C52E0">
        <w:t>improvement in the risk assessment process and documentation</w:t>
      </w:r>
      <w:bookmarkEnd w:id="67"/>
    </w:p>
    <w:p w:rsidR="000C52E0" w:rsidRPr="00427383" w:rsidRDefault="000C52E0" w:rsidP="00201CE8">
      <w:pPr>
        <w:pStyle w:val="ListParagraph"/>
        <w:numPr>
          <w:ilvl w:val="0"/>
          <w:numId w:val="44"/>
        </w:numPr>
        <w:rPr>
          <w:rFonts w:asciiTheme="minorHAnsi" w:hAnsiTheme="minorHAnsi" w:cstheme="minorHAnsi"/>
        </w:rPr>
      </w:pPr>
      <w:r w:rsidRPr="00427383">
        <w:rPr>
          <w:rFonts w:asciiTheme="minorHAnsi" w:hAnsiTheme="minorHAnsi" w:cstheme="minorHAnsi"/>
        </w:rPr>
        <w:t xml:space="preserve">Develop guidance for </w:t>
      </w:r>
      <w:r w:rsidR="00FC76E0">
        <w:rPr>
          <w:rFonts w:asciiTheme="minorHAnsi" w:hAnsiTheme="minorHAnsi" w:cstheme="minorHAnsi"/>
        </w:rPr>
        <w:t xml:space="preserve">a </w:t>
      </w:r>
      <w:r w:rsidRPr="00427383">
        <w:rPr>
          <w:rFonts w:asciiTheme="minorHAnsi" w:hAnsiTheme="minorHAnsi" w:cstheme="minorHAnsi"/>
        </w:rPr>
        <w:t>tiered risk assessment approach</w:t>
      </w:r>
      <w:r w:rsidR="00E5670F">
        <w:rPr>
          <w:rFonts w:asciiTheme="minorHAnsi" w:hAnsiTheme="minorHAnsi" w:cstheme="minorHAnsi"/>
        </w:rPr>
        <w:t>, including f</w:t>
      </w:r>
      <w:r w:rsidRPr="00427383">
        <w:rPr>
          <w:rFonts w:asciiTheme="minorHAnsi" w:hAnsiTheme="minorHAnsi" w:cstheme="minorHAnsi"/>
        </w:rPr>
        <w:t xml:space="preserve">or </w:t>
      </w:r>
      <w:r>
        <w:rPr>
          <w:rFonts w:asciiTheme="minorHAnsi" w:hAnsiTheme="minorHAnsi" w:cstheme="minorHAnsi"/>
        </w:rPr>
        <w:t>rapid risk assessments</w:t>
      </w:r>
      <w:r w:rsidRPr="00427383">
        <w:rPr>
          <w:rFonts w:asciiTheme="minorHAnsi" w:hAnsiTheme="minorHAnsi" w:cstheme="minorHAnsi"/>
        </w:rPr>
        <w:t xml:space="preserve"> </w:t>
      </w:r>
      <w:r>
        <w:rPr>
          <w:rFonts w:asciiTheme="minorHAnsi" w:hAnsiTheme="minorHAnsi" w:cstheme="minorHAnsi"/>
        </w:rPr>
        <w:t xml:space="preserve">and </w:t>
      </w:r>
      <w:r w:rsidRPr="00427383">
        <w:rPr>
          <w:rFonts w:asciiTheme="minorHAnsi" w:hAnsiTheme="minorHAnsi" w:cstheme="minorHAnsi"/>
        </w:rPr>
        <w:t xml:space="preserve">including qualitative </w:t>
      </w:r>
      <w:proofErr w:type="gramStart"/>
      <w:r w:rsidRPr="00427383">
        <w:rPr>
          <w:rFonts w:asciiTheme="minorHAnsi" w:hAnsiTheme="minorHAnsi" w:cstheme="minorHAnsi"/>
        </w:rPr>
        <w:t>approaches,</w:t>
      </w:r>
      <w:proofErr w:type="gramEnd"/>
      <w:r w:rsidRPr="00427383">
        <w:rPr>
          <w:rFonts w:asciiTheme="minorHAnsi" w:hAnsiTheme="minorHAnsi" w:cstheme="minorHAnsi"/>
        </w:rPr>
        <w:t xml:space="preserve"> defin</w:t>
      </w:r>
      <w:r w:rsidR="00B90B1F">
        <w:rPr>
          <w:rFonts w:asciiTheme="minorHAnsi" w:hAnsiTheme="minorHAnsi" w:cstheme="minorHAnsi"/>
        </w:rPr>
        <w:t>e</w:t>
      </w:r>
      <w:r w:rsidRPr="00427383">
        <w:rPr>
          <w:rFonts w:asciiTheme="minorHAnsi" w:hAnsiTheme="minorHAnsi" w:cstheme="minorHAnsi"/>
        </w:rPr>
        <w:t xml:space="preserve"> specific scenarios requiring a different level of detail in the risk assessment approach.</w:t>
      </w:r>
      <w:r>
        <w:rPr>
          <w:rFonts w:asciiTheme="minorHAnsi" w:hAnsiTheme="minorHAnsi" w:cstheme="minorHAnsi"/>
        </w:rPr>
        <w:t xml:space="preserve"> </w:t>
      </w:r>
    </w:p>
    <w:p w:rsidR="000C52E0" w:rsidRDefault="000C52E0" w:rsidP="00BE43D3">
      <w:pPr>
        <w:pStyle w:val="ListParagraph"/>
        <w:numPr>
          <w:ilvl w:val="1"/>
          <w:numId w:val="15"/>
        </w:numPr>
        <w:ind w:left="2127" w:hanging="403"/>
        <w:rPr>
          <w:rFonts w:asciiTheme="minorHAnsi" w:hAnsiTheme="minorHAnsi" w:cstheme="minorHAnsi"/>
        </w:rPr>
      </w:pPr>
      <w:r w:rsidRPr="00427383">
        <w:rPr>
          <w:rFonts w:asciiTheme="minorHAnsi" w:hAnsiTheme="minorHAnsi" w:cstheme="minorHAnsi"/>
        </w:rPr>
        <w:t>Include decision criteria for qualitative rather than quantitative approaches for microbiological risk assessments, and when risk profiling rather than full risk assessments are sufficient.</w:t>
      </w:r>
    </w:p>
    <w:p w:rsidR="000C52E0" w:rsidRDefault="000C52E0" w:rsidP="00201CE8">
      <w:pPr>
        <w:pStyle w:val="ListParagraph"/>
        <w:numPr>
          <w:ilvl w:val="1"/>
          <w:numId w:val="15"/>
        </w:numPr>
        <w:ind w:left="2127" w:hanging="403"/>
        <w:rPr>
          <w:rFonts w:asciiTheme="minorHAnsi" w:hAnsiTheme="minorHAnsi" w:cstheme="minorHAnsi"/>
        </w:rPr>
      </w:pPr>
      <w:r>
        <w:rPr>
          <w:rFonts w:asciiTheme="minorHAnsi" w:hAnsiTheme="minorHAnsi" w:cstheme="minorHAnsi"/>
        </w:rPr>
        <w:t xml:space="preserve">Include guidance </w:t>
      </w:r>
      <w:r w:rsidR="00542453">
        <w:rPr>
          <w:rFonts w:asciiTheme="minorHAnsi" w:hAnsiTheme="minorHAnsi" w:cstheme="minorHAnsi"/>
        </w:rPr>
        <w:t xml:space="preserve">on </w:t>
      </w:r>
      <w:r>
        <w:rPr>
          <w:rFonts w:asciiTheme="minorHAnsi" w:hAnsiTheme="minorHAnsi" w:cstheme="minorHAnsi"/>
        </w:rPr>
        <w:t xml:space="preserve">when, </w:t>
      </w:r>
      <w:r w:rsidR="00542453">
        <w:rPr>
          <w:rFonts w:asciiTheme="minorHAnsi" w:hAnsiTheme="minorHAnsi" w:cstheme="minorHAnsi"/>
        </w:rPr>
        <w:t xml:space="preserve">and </w:t>
      </w:r>
      <w:r>
        <w:rPr>
          <w:rFonts w:asciiTheme="minorHAnsi" w:hAnsiTheme="minorHAnsi" w:cstheme="minorHAnsi"/>
        </w:rPr>
        <w:t>to what extent and under what circumstances existing authoritative risk assessments can be u</w:t>
      </w:r>
      <w:r w:rsidR="00B90B1F">
        <w:rPr>
          <w:rFonts w:asciiTheme="minorHAnsi" w:hAnsiTheme="minorHAnsi" w:cstheme="minorHAnsi"/>
        </w:rPr>
        <w:t>sed</w:t>
      </w:r>
      <w:r>
        <w:rPr>
          <w:rFonts w:asciiTheme="minorHAnsi" w:hAnsiTheme="minorHAnsi" w:cstheme="minorHAnsi"/>
        </w:rPr>
        <w:t xml:space="preserve">. </w:t>
      </w:r>
    </w:p>
    <w:p w:rsidR="000C52E0" w:rsidRPr="000C52E0" w:rsidRDefault="000C52E0" w:rsidP="003B2DBB">
      <w:pPr>
        <w:pStyle w:val="ListParagraph"/>
        <w:ind w:left="1440" w:firstLine="284"/>
        <w:rPr>
          <w:rFonts w:asciiTheme="minorHAnsi" w:hAnsiTheme="minorHAnsi" w:cstheme="minorHAnsi"/>
        </w:rPr>
      </w:pPr>
    </w:p>
    <w:p w:rsidR="000C52E0" w:rsidRDefault="000C52E0" w:rsidP="00201CE8">
      <w:pPr>
        <w:pStyle w:val="ListParagraph"/>
        <w:numPr>
          <w:ilvl w:val="0"/>
          <w:numId w:val="44"/>
        </w:numPr>
        <w:rPr>
          <w:rFonts w:asciiTheme="minorHAnsi" w:hAnsiTheme="minorHAnsi" w:cstheme="minorHAnsi"/>
        </w:rPr>
      </w:pPr>
      <w:r w:rsidRPr="00427383">
        <w:rPr>
          <w:rFonts w:asciiTheme="minorHAnsi" w:hAnsiTheme="minorHAnsi" w:cstheme="minorHAnsi"/>
        </w:rPr>
        <w:t xml:space="preserve">For combined (and complex) risk assessments, apply a clear and practicable approach for early input </w:t>
      </w:r>
      <w:r>
        <w:rPr>
          <w:rFonts w:asciiTheme="minorHAnsi" w:hAnsiTheme="minorHAnsi" w:cstheme="minorHAnsi"/>
        </w:rPr>
        <w:t>from all</w:t>
      </w:r>
      <w:r w:rsidRPr="00427383">
        <w:rPr>
          <w:rFonts w:asciiTheme="minorHAnsi" w:hAnsiTheme="minorHAnsi" w:cstheme="minorHAnsi"/>
        </w:rPr>
        <w:t xml:space="preserve"> relevant expertise early on in the risk assessment planning process. This could </w:t>
      </w:r>
      <w:r w:rsidR="00077763">
        <w:rPr>
          <w:rFonts w:asciiTheme="minorHAnsi" w:hAnsiTheme="minorHAnsi" w:cstheme="minorHAnsi"/>
        </w:rPr>
        <w:t>occur early i</w:t>
      </w:r>
      <w:r w:rsidRPr="00427383">
        <w:rPr>
          <w:rFonts w:asciiTheme="minorHAnsi" w:hAnsiTheme="minorHAnsi" w:cstheme="minorHAnsi"/>
        </w:rPr>
        <w:t>n a consultative process with all available expertise (in particular special advisors e.g. in nutrit</w:t>
      </w:r>
      <w:r w:rsidR="009B6341">
        <w:rPr>
          <w:rFonts w:asciiTheme="minorHAnsi" w:hAnsiTheme="minorHAnsi" w:cstheme="minorHAnsi"/>
        </w:rPr>
        <w:t>i</w:t>
      </w:r>
      <w:r w:rsidRPr="00427383">
        <w:rPr>
          <w:rFonts w:asciiTheme="minorHAnsi" w:hAnsiTheme="minorHAnsi" w:cstheme="minorHAnsi"/>
        </w:rPr>
        <w:t xml:space="preserve">on); and include ‘check-points’ throughout the risk assessment development process to make sure no aspect is overlooked, or </w:t>
      </w:r>
      <w:r w:rsidR="00B90B1F">
        <w:rPr>
          <w:rFonts w:asciiTheme="minorHAnsi" w:hAnsiTheme="minorHAnsi" w:cstheme="minorHAnsi"/>
        </w:rPr>
        <w:t xml:space="preserve">to </w:t>
      </w:r>
      <w:r w:rsidR="00077763">
        <w:rPr>
          <w:rFonts w:asciiTheme="minorHAnsi" w:hAnsiTheme="minorHAnsi" w:cstheme="minorHAnsi"/>
        </w:rPr>
        <w:t xml:space="preserve">decide whether some </w:t>
      </w:r>
      <w:r w:rsidRPr="00427383">
        <w:rPr>
          <w:rFonts w:asciiTheme="minorHAnsi" w:hAnsiTheme="minorHAnsi" w:cstheme="minorHAnsi"/>
        </w:rPr>
        <w:t xml:space="preserve">aspects can be dropped. </w:t>
      </w:r>
    </w:p>
    <w:p w:rsidR="000C52E0" w:rsidRPr="00427383" w:rsidRDefault="000C52E0" w:rsidP="003B2DBB">
      <w:pPr>
        <w:pStyle w:val="ListParagraph"/>
        <w:ind w:firstLine="284"/>
        <w:rPr>
          <w:rFonts w:asciiTheme="minorHAnsi" w:hAnsiTheme="minorHAnsi" w:cstheme="minorHAnsi"/>
        </w:rPr>
      </w:pPr>
    </w:p>
    <w:p w:rsidR="008F2F9A" w:rsidRDefault="000C52E0" w:rsidP="00201CE8">
      <w:pPr>
        <w:pStyle w:val="ListParagraph"/>
        <w:numPr>
          <w:ilvl w:val="0"/>
          <w:numId w:val="44"/>
        </w:numPr>
        <w:rPr>
          <w:rFonts w:asciiTheme="minorHAnsi" w:hAnsiTheme="minorHAnsi" w:cstheme="minorHAnsi"/>
        </w:rPr>
      </w:pPr>
      <w:r w:rsidRPr="007E3082">
        <w:rPr>
          <w:rFonts w:asciiTheme="minorHAnsi" w:hAnsiTheme="minorHAnsi" w:cstheme="minorHAnsi"/>
        </w:rPr>
        <w:t xml:space="preserve">Develop </w:t>
      </w:r>
      <w:r w:rsidR="007E3082" w:rsidRPr="007E3082">
        <w:rPr>
          <w:rFonts w:asciiTheme="minorHAnsi" w:hAnsiTheme="minorHAnsi" w:cstheme="minorHAnsi"/>
        </w:rPr>
        <w:t xml:space="preserve">a </w:t>
      </w:r>
      <w:r w:rsidRPr="007E3082">
        <w:rPr>
          <w:rFonts w:asciiTheme="minorHAnsi" w:hAnsiTheme="minorHAnsi" w:cstheme="minorHAnsi"/>
        </w:rPr>
        <w:t xml:space="preserve">template </w:t>
      </w:r>
      <w:r w:rsidRPr="00427383">
        <w:rPr>
          <w:rFonts w:asciiTheme="minorHAnsi" w:hAnsiTheme="minorHAnsi" w:cstheme="minorHAnsi"/>
        </w:rPr>
        <w:t>on report structure and content for combined risk assessment</w:t>
      </w:r>
      <w:r>
        <w:rPr>
          <w:rFonts w:asciiTheme="minorHAnsi" w:hAnsiTheme="minorHAnsi" w:cstheme="minorHAnsi"/>
        </w:rPr>
        <w:t xml:space="preserve"> reports, </w:t>
      </w:r>
      <w:r w:rsidR="00077763">
        <w:rPr>
          <w:rFonts w:asciiTheme="minorHAnsi" w:hAnsiTheme="minorHAnsi" w:cstheme="minorHAnsi"/>
        </w:rPr>
        <w:t xml:space="preserve">which involve input from several disciplines, </w:t>
      </w:r>
      <w:r>
        <w:rPr>
          <w:rFonts w:asciiTheme="minorHAnsi" w:hAnsiTheme="minorHAnsi" w:cstheme="minorHAnsi"/>
        </w:rPr>
        <w:t>including a</w:t>
      </w:r>
      <w:r w:rsidRPr="00427383">
        <w:rPr>
          <w:rFonts w:asciiTheme="minorHAnsi" w:hAnsiTheme="minorHAnsi" w:cstheme="minorHAnsi"/>
        </w:rPr>
        <w:t xml:space="preserve"> brief description of content and level of detail for each section, including examples (reference to existing reports)</w:t>
      </w:r>
      <w:r w:rsidR="00077763">
        <w:rPr>
          <w:rFonts w:asciiTheme="minorHAnsi" w:hAnsiTheme="minorHAnsi" w:cstheme="minorHAnsi"/>
        </w:rPr>
        <w:t>.</w:t>
      </w:r>
    </w:p>
    <w:p w:rsidR="00077763" w:rsidRPr="00077763" w:rsidRDefault="00077763">
      <w:pPr>
        <w:pStyle w:val="ListParagraph"/>
        <w:rPr>
          <w:rFonts w:asciiTheme="minorHAnsi" w:hAnsiTheme="minorHAnsi" w:cstheme="minorHAnsi"/>
        </w:rPr>
      </w:pPr>
    </w:p>
    <w:p w:rsidR="001C73D0" w:rsidRPr="00427383" w:rsidRDefault="001C73D0" w:rsidP="00201CE8">
      <w:pPr>
        <w:pStyle w:val="ListParagraph"/>
        <w:numPr>
          <w:ilvl w:val="0"/>
          <w:numId w:val="44"/>
        </w:numPr>
        <w:rPr>
          <w:rFonts w:asciiTheme="minorHAnsi" w:hAnsiTheme="minorHAnsi" w:cstheme="minorHAnsi"/>
        </w:rPr>
      </w:pPr>
      <w:r>
        <w:rPr>
          <w:rFonts w:asciiTheme="minorHAnsi" w:hAnsiTheme="minorHAnsi" w:cstheme="minorHAnsi"/>
        </w:rPr>
        <w:t>Strengthen the evidence base by introducing</w:t>
      </w:r>
      <w:r w:rsidRPr="00427383">
        <w:rPr>
          <w:rFonts w:asciiTheme="minorHAnsi" w:hAnsiTheme="minorHAnsi" w:cstheme="minorHAnsi"/>
        </w:rPr>
        <w:t xml:space="preserve"> a systematic and transparent approach on evidence-retri</w:t>
      </w:r>
      <w:r>
        <w:rPr>
          <w:rFonts w:asciiTheme="minorHAnsi" w:hAnsiTheme="minorHAnsi" w:cstheme="minorHAnsi"/>
        </w:rPr>
        <w:t>eval (literature searches) and evaluation</w:t>
      </w:r>
      <w:r w:rsidRPr="00427383">
        <w:rPr>
          <w:rFonts w:asciiTheme="minorHAnsi" w:hAnsiTheme="minorHAnsi" w:cstheme="minorHAnsi"/>
        </w:rPr>
        <w:t xml:space="preserve"> (grading) of the evidence (</w:t>
      </w:r>
      <w:r>
        <w:rPr>
          <w:rFonts w:asciiTheme="minorHAnsi" w:hAnsiTheme="minorHAnsi" w:cstheme="minorHAnsi"/>
        </w:rPr>
        <w:t>including</w:t>
      </w:r>
      <w:r w:rsidRPr="00427383">
        <w:rPr>
          <w:rFonts w:asciiTheme="minorHAnsi" w:hAnsiTheme="minorHAnsi" w:cstheme="minorHAnsi"/>
        </w:rPr>
        <w:t xml:space="preserve"> criteria for ‘inclusion’ and ‘exclusion’) for all risk assessment areas. </w:t>
      </w:r>
    </w:p>
    <w:p w:rsidR="000C52E0" w:rsidRPr="000C52E0" w:rsidRDefault="000C52E0" w:rsidP="00201CE8">
      <w:pPr>
        <w:pStyle w:val="ListParagraph"/>
        <w:rPr>
          <w:rFonts w:asciiTheme="minorHAnsi" w:hAnsiTheme="minorHAnsi" w:cstheme="minorHAnsi"/>
        </w:rPr>
      </w:pPr>
    </w:p>
    <w:p w:rsidR="00E13DC8" w:rsidRPr="00BA0BA8" w:rsidRDefault="000C52E0" w:rsidP="00201CE8">
      <w:pPr>
        <w:pStyle w:val="ListParagraph"/>
        <w:numPr>
          <w:ilvl w:val="0"/>
          <w:numId w:val="44"/>
        </w:numPr>
        <w:rPr>
          <w:rFonts w:asciiTheme="minorHAnsi" w:hAnsiTheme="minorHAnsi" w:cstheme="minorHAnsi"/>
        </w:rPr>
      </w:pPr>
      <w:r w:rsidRPr="008A73FB">
        <w:rPr>
          <w:rFonts w:asciiTheme="minorHAnsi" w:hAnsiTheme="minorHAnsi" w:cstheme="minorHAnsi"/>
        </w:rPr>
        <w:t>Develop guidance on how to balance risks and benefits in risk assessments</w:t>
      </w:r>
      <w:r>
        <w:rPr>
          <w:rFonts w:asciiTheme="minorHAnsi" w:hAnsiTheme="minorHAnsi" w:cstheme="minorHAnsi"/>
        </w:rPr>
        <w:t>.</w:t>
      </w:r>
    </w:p>
    <w:p w:rsidR="002E2DB6" w:rsidRPr="00461964" w:rsidRDefault="002E2DB6" w:rsidP="003B2DBB">
      <w:pPr>
        <w:pStyle w:val="ListParagraph"/>
        <w:spacing w:line="360" w:lineRule="auto"/>
        <w:ind w:firstLine="284"/>
        <w:rPr>
          <w:rFonts w:ascii="Calibri" w:hAnsi="Calibri" w:cs="Calibri"/>
        </w:rPr>
      </w:pPr>
    </w:p>
    <w:p w:rsidR="001C0BAA" w:rsidRPr="00BA0BA8" w:rsidRDefault="00394908" w:rsidP="00201CE8">
      <w:pPr>
        <w:spacing w:before="100" w:beforeAutospacing="1" w:after="100" w:afterAutospacing="1" w:line="276" w:lineRule="auto"/>
        <w:rPr>
          <w:rFonts w:ascii="Calibri" w:hAnsi="Calibri" w:cs="Calibri"/>
        </w:rPr>
      </w:pPr>
      <w:r w:rsidRPr="00BA0BA8">
        <w:rPr>
          <w:rFonts w:ascii="Calibri" w:hAnsi="Calibri" w:cs="Calibri"/>
        </w:rPr>
        <w:lastRenderedPageBreak/>
        <w:t>I</w:t>
      </w:r>
      <w:r w:rsidR="001C0BAA" w:rsidRPr="00BA0BA8">
        <w:rPr>
          <w:rFonts w:ascii="Calibri" w:hAnsi="Calibri" w:cs="Calibri"/>
        </w:rPr>
        <w:t xml:space="preserve">t is important </w:t>
      </w:r>
      <w:r w:rsidRPr="00BA0BA8">
        <w:rPr>
          <w:rFonts w:ascii="Calibri" w:hAnsi="Calibri" w:cs="Calibri"/>
        </w:rPr>
        <w:t xml:space="preserve">to note </w:t>
      </w:r>
      <w:r w:rsidR="001C0BAA" w:rsidRPr="00BA0BA8">
        <w:rPr>
          <w:rFonts w:ascii="Calibri" w:hAnsi="Calibri" w:cs="Calibri"/>
        </w:rPr>
        <w:t xml:space="preserve">that </w:t>
      </w:r>
      <w:r w:rsidRPr="00BA0BA8">
        <w:rPr>
          <w:rFonts w:ascii="Calibri" w:hAnsi="Calibri" w:cs="Calibri"/>
        </w:rPr>
        <w:t xml:space="preserve">the </w:t>
      </w:r>
      <w:r w:rsidR="00085D53" w:rsidRPr="00BA0BA8">
        <w:rPr>
          <w:rFonts w:ascii="Calibri" w:hAnsi="Calibri" w:cs="Calibri"/>
        </w:rPr>
        <w:t>recommendations listed above</w:t>
      </w:r>
      <w:r w:rsidRPr="00BA0BA8">
        <w:rPr>
          <w:rFonts w:ascii="Calibri" w:hAnsi="Calibri" w:cs="Calibri"/>
        </w:rPr>
        <w:t xml:space="preserve"> for development of further tools and guidance is intended </w:t>
      </w:r>
      <w:r w:rsidR="001C0BAA" w:rsidRPr="00BA0BA8">
        <w:rPr>
          <w:rFonts w:ascii="Calibri" w:hAnsi="Calibri" w:cs="Calibri"/>
        </w:rPr>
        <w:t xml:space="preserve">to help risk assessors and </w:t>
      </w:r>
      <w:r w:rsidRPr="00BA0BA8">
        <w:rPr>
          <w:rFonts w:ascii="Calibri" w:hAnsi="Calibri" w:cs="Calibri"/>
        </w:rPr>
        <w:t xml:space="preserve">also </w:t>
      </w:r>
      <w:r w:rsidR="009B6341">
        <w:rPr>
          <w:rFonts w:ascii="Calibri" w:hAnsi="Calibri" w:cs="Calibri"/>
        </w:rPr>
        <w:t>en</w:t>
      </w:r>
      <w:r w:rsidRPr="00BA0BA8">
        <w:rPr>
          <w:rFonts w:ascii="Calibri" w:hAnsi="Calibri" w:cs="Calibri"/>
        </w:rPr>
        <w:t xml:space="preserve">sure a consistent and transparent approach. Care has to be taken to not </w:t>
      </w:r>
      <w:r w:rsidR="007E3082">
        <w:rPr>
          <w:rFonts w:ascii="Calibri" w:hAnsi="Calibri" w:cs="Calibri"/>
        </w:rPr>
        <w:t>simply</w:t>
      </w:r>
      <w:r w:rsidRPr="00BA0BA8">
        <w:rPr>
          <w:rFonts w:ascii="Calibri" w:hAnsi="Calibri" w:cs="Calibri"/>
        </w:rPr>
        <w:t xml:space="preserve"> </w:t>
      </w:r>
      <w:r w:rsidR="001C0BAA" w:rsidRPr="00BA0BA8">
        <w:rPr>
          <w:rFonts w:ascii="Calibri" w:hAnsi="Calibri" w:cs="Calibri"/>
        </w:rPr>
        <w:t xml:space="preserve">increase </w:t>
      </w:r>
      <w:r w:rsidRPr="00BA0BA8">
        <w:rPr>
          <w:rFonts w:ascii="Calibri" w:hAnsi="Calibri" w:cs="Calibri"/>
        </w:rPr>
        <w:t xml:space="preserve">the </w:t>
      </w:r>
      <w:r w:rsidR="00037E57" w:rsidRPr="00BA0BA8">
        <w:rPr>
          <w:rFonts w:ascii="Calibri" w:hAnsi="Calibri" w:cs="Calibri"/>
        </w:rPr>
        <w:t>administrative</w:t>
      </w:r>
      <w:r w:rsidR="001C0BAA" w:rsidRPr="00BA0BA8">
        <w:rPr>
          <w:rFonts w:ascii="Calibri" w:hAnsi="Calibri" w:cs="Calibri"/>
        </w:rPr>
        <w:t xml:space="preserve"> burden</w:t>
      </w:r>
      <w:r w:rsidRPr="00BA0BA8">
        <w:rPr>
          <w:rFonts w:ascii="Calibri" w:hAnsi="Calibri" w:cs="Calibri"/>
        </w:rPr>
        <w:t xml:space="preserve"> </w:t>
      </w:r>
      <w:r w:rsidR="00085D53" w:rsidRPr="00BA0BA8">
        <w:rPr>
          <w:rFonts w:ascii="Calibri" w:hAnsi="Calibri" w:cs="Calibri"/>
        </w:rPr>
        <w:t xml:space="preserve">of risk assessors, but there needs to be a balance between increased ‘process’ versus clear benefit. </w:t>
      </w:r>
      <w:r w:rsidRPr="00BA0BA8">
        <w:rPr>
          <w:rFonts w:ascii="Calibri" w:hAnsi="Calibri" w:cs="Calibri"/>
        </w:rPr>
        <w:t xml:space="preserve"> </w:t>
      </w:r>
    </w:p>
    <w:p w:rsidR="00611170" w:rsidRDefault="00611170" w:rsidP="008A3A42">
      <w:pPr>
        <w:pStyle w:val="Heading2"/>
      </w:pPr>
      <w:bookmarkStart w:id="68" w:name="_Toc332960019"/>
      <w:bookmarkStart w:id="69" w:name="_Toc322935530"/>
      <w:r>
        <w:t xml:space="preserve">6.3. Scientific </w:t>
      </w:r>
      <w:r w:rsidR="00B90B1F">
        <w:t>c</w:t>
      </w:r>
      <w:r>
        <w:t>ompetence</w:t>
      </w:r>
      <w:bookmarkEnd w:id="68"/>
      <w:r>
        <w:t xml:space="preserve"> </w:t>
      </w:r>
      <w:bookmarkEnd w:id="69"/>
    </w:p>
    <w:p w:rsidR="00D4105C" w:rsidRPr="007E3082" w:rsidRDefault="00611170" w:rsidP="00201CE8">
      <w:pPr>
        <w:spacing w:before="100" w:beforeAutospacing="1" w:after="100" w:afterAutospacing="1" w:line="276" w:lineRule="auto"/>
        <w:rPr>
          <w:rFonts w:ascii="Calibri" w:hAnsi="Calibri" w:cs="Calibri"/>
        </w:rPr>
      </w:pPr>
      <w:bookmarkStart w:id="70" w:name="_Toc322935531"/>
      <w:r w:rsidRPr="00461964">
        <w:rPr>
          <w:rFonts w:ascii="Calibri" w:hAnsi="Calibri" w:cs="Calibri"/>
        </w:rPr>
        <w:t xml:space="preserve">Each </w:t>
      </w:r>
      <w:r w:rsidR="00082C92" w:rsidRPr="00461964">
        <w:rPr>
          <w:rFonts w:ascii="Calibri" w:hAnsi="Calibri" w:cs="Calibri"/>
        </w:rPr>
        <w:t xml:space="preserve">risk assessment </w:t>
      </w:r>
      <w:r w:rsidRPr="00461964">
        <w:rPr>
          <w:rFonts w:ascii="Calibri" w:hAnsi="Calibri" w:cs="Calibri"/>
        </w:rPr>
        <w:t>area</w:t>
      </w:r>
      <w:r w:rsidR="00082C92" w:rsidRPr="00461964">
        <w:rPr>
          <w:rFonts w:ascii="Calibri" w:hAnsi="Calibri" w:cs="Calibri"/>
        </w:rPr>
        <w:t xml:space="preserve"> described above</w:t>
      </w:r>
      <w:r w:rsidRPr="00461964">
        <w:rPr>
          <w:rFonts w:ascii="Calibri" w:hAnsi="Calibri" w:cs="Calibri"/>
        </w:rPr>
        <w:t xml:space="preserve"> is covered by</w:t>
      </w:r>
      <w:r w:rsidR="00D4105C" w:rsidRPr="00461964">
        <w:rPr>
          <w:rFonts w:ascii="Calibri" w:hAnsi="Calibri" w:cs="Calibri"/>
        </w:rPr>
        <w:t xml:space="preserve"> only a few staff (usually 2-3). This </w:t>
      </w:r>
      <w:r w:rsidR="009B6341">
        <w:rPr>
          <w:rFonts w:ascii="Calibri" w:hAnsi="Calibri" w:cs="Calibri"/>
        </w:rPr>
        <w:t xml:space="preserve">clearly </w:t>
      </w:r>
      <w:r w:rsidR="001F2EAE">
        <w:rPr>
          <w:rFonts w:ascii="Calibri" w:hAnsi="Calibri" w:cs="Calibri"/>
        </w:rPr>
        <w:t xml:space="preserve">presents </w:t>
      </w:r>
      <w:r w:rsidR="00D4105C" w:rsidRPr="00461964">
        <w:rPr>
          <w:rFonts w:ascii="Calibri" w:hAnsi="Calibri" w:cs="Calibri"/>
        </w:rPr>
        <w:t>a challenge, but it also allows for close collaboration between work areas. In risk assessment</w:t>
      </w:r>
      <w:r w:rsidR="009B6341">
        <w:rPr>
          <w:rFonts w:ascii="Calibri" w:hAnsi="Calibri" w:cs="Calibri"/>
        </w:rPr>
        <w:t>,</w:t>
      </w:r>
      <w:r w:rsidR="00D4105C" w:rsidRPr="00461964">
        <w:rPr>
          <w:rFonts w:ascii="Calibri" w:hAnsi="Calibri" w:cs="Calibri"/>
        </w:rPr>
        <w:t xml:space="preserve"> in general</w:t>
      </w:r>
      <w:r w:rsidR="009B6341">
        <w:rPr>
          <w:rFonts w:ascii="Calibri" w:hAnsi="Calibri" w:cs="Calibri"/>
        </w:rPr>
        <w:t>,</w:t>
      </w:r>
      <w:r w:rsidR="00D4105C" w:rsidRPr="00461964">
        <w:rPr>
          <w:rFonts w:ascii="Calibri" w:hAnsi="Calibri" w:cs="Calibri"/>
        </w:rPr>
        <w:t xml:space="preserve"> experts have to first be trained, i.e. scientists can be trained in elements of risk assessment, however the practical application of hazard assessment, exposure assessment, and then risk characterization when doing a food risk assessment </w:t>
      </w:r>
      <w:r w:rsidR="005B58B2" w:rsidRPr="00461964">
        <w:rPr>
          <w:rFonts w:ascii="Calibri" w:hAnsi="Calibri" w:cs="Calibri"/>
        </w:rPr>
        <w:t xml:space="preserve">in the regulatory context </w:t>
      </w:r>
      <w:r w:rsidR="00D4105C" w:rsidRPr="00461964">
        <w:rPr>
          <w:rFonts w:ascii="Calibri" w:hAnsi="Calibri" w:cs="Calibri"/>
        </w:rPr>
        <w:t>has to be learned first ‘on the job’. This is a challenge</w:t>
      </w:r>
      <w:r w:rsidR="009B6341">
        <w:rPr>
          <w:rFonts w:ascii="Calibri" w:hAnsi="Calibri" w:cs="Calibri"/>
        </w:rPr>
        <w:t>,</w:t>
      </w:r>
      <w:r w:rsidR="00D4105C" w:rsidRPr="00461964">
        <w:rPr>
          <w:rFonts w:ascii="Calibri" w:hAnsi="Calibri" w:cs="Calibri"/>
        </w:rPr>
        <w:t xml:space="preserve"> to first train </w:t>
      </w:r>
      <w:r w:rsidR="00DE05F0" w:rsidRPr="00461964">
        <w:rPr>
          <w:rFonts w:ascii="Calibri" w:hAnsi="Calibri" w:cs="Calibri"/>
        </w:rPr>
        <w:t>new</w:t>
      </w:r>
      <w:r w:rsidR="00D4105C" w:rsidRPr="00461964">
        <w:rPr>
          <w:rFonts w:ascii="Calibri" w:hAnsi="Calibri" w:cs="Calibri"/>
        </w:rPr>
        <w:t xml:space="preserve"> staff</w:t>
      </w:r>
      <w:r w:rsidR="009B6341">
        <w:rPr>
          <w:rFonts w:ascii="Calibri" w:hAnsi="Calibri" w:cs="Calibri"/>
        </w:rPr>
        <w:t>,</w:t>
      </w:r>
      <w:r w:rsidR="00D4105C" w:rsidRPr="00461964">
        <w:rPr>
          <w:rFonts w:ascii="Calibri" w:hAnsi="Calibri" w:cs="Calibri"/>
        </w:rPr>
        <w:t xml:space="preserve"> and then keep the job opportunities attractive enough to keep</w:t>
      </w:r>
      <w:r w:rsidR="00DE05F0" w:rsidRPr="00461964">
        <w:rPr>
          <w:rFonts w:ascii="Calibri" w:hAnsi="Calibri" w:cs="Calibri"/>
        </w:rPr>
        <w:t xml:space="preserve"> </w:t>
      </w:r>
      <w:r w:rsidR="00E33B1E">
        <w:rPr>
          <w:rFonts w:ascii="Calibri" w:hAnsi="Calibri" w:cs="Calibri"/>
        </w:rPr>
        <w:t>experienced</w:t>
      </w:r>
      <w:r w:rsidR="00D4105C" w:rsidRPr="00461964">
        <w:rPr>
          <w:rFonts w:ascii="Calibri" w:hAnsi="Calibri" w:cs="Calibri"/>
        </w:rPr>
        <w:t xml:space="preserve"> trained staff.</w:t>
      </w:r>
      <w:bookmarkEnd w:id="70"/>
      <w:r w:rsidR="00D4105C" w:rsidRPr="00461964">
        <w:rPr>
          <w:rFonts w:ascii="Calibri" w:hAnsi="Calibri" w:cs="Calibri"/>
        </w:rPr>
        <w:t xml:space="preserve"> </w:t>
      </w:r>
    </w:p>
    <w:p w:rsidR="00611170" w:rsidRPr="00461964" w:rsidRDefault="00D4105C" w:rsidP="00201CE8">
      <w:pPr>
        <w:spacing w:before="100" w:beforeAutospacing="1" w:after="100" w:afterAutospacing="1" w:line="276" w:lineRule="auto"/>
        <w:rPr>
          <w:rFonts w:ascii="Calibri" w:hAnsi="Calibri" w:cs="Calibri"/>
        </w:rPr>
      </w:pPr>
      <w:bookmarkStart w:id="71" w:name="_Toc322935532"/>
      <w:r w:rsidRPr="00461964">
        <w:rPr>
          <w:rFonts w:ascii="Calibri" w:hAnsi="Calibri" w:cs="Calibri"/>
        </w:rPr>
        <w:t>Generally there seem</w:t>
      </w:r>
      <w:r w:rsidR="00DB55E7" w:rsidRPr="00461964">
        <w:rPr>
          <w:rFonts w:ascii="Calibri" w:hAnsi="Calibri" w:cs="Calibri"/>
        </w:rPr>
        <w:t>s to be</w:t>
      </w:r>
      <w:r w:rsidRPr="00461964">
        <w:rPr>
          <w:rFonts w:ascii="Calibri" w:hAnsi="Calibri" w:cs="Calibri"/>
        </w:rPr>
        <w:t xml:space="preserve"> sufficient in-house expertise in all key areas. However, due to changing needs, e.g. more complex combined assessments, increased availability </w:t>
      </w:r>
      <w:r w:rsidR="00203D60" w:rsidRPr="00461964">
        <w:rPr>
          <w:rFonts w:ascii="Calibri" w:hAnsi="Calibri" w:cs="Calibri"/>
        </w:rPr>
        <w:t xml:space="preserve">of </w:t>
      </w:r>
      <w:r w:rsidR="005B58B2" w:rsidRPr="00461964">
        <w:rPr>
          <w:rFonts w:ascii="Calibri" w:hAnsi="Calibri" w:cs="Calibri"/>
        </w:rPr>
        <w:t>(</w:t>
      </w:r>
      <w:r w:rsidR="00203D60" w:rsidRPr="00461964">
        <w:rPr>
          <w:rFonts w:ascii="Calibri" w:hAnsi="Calibri" w:cs="Calibri"/>
        </w:rPr>
        <w:t>surveillance</w:t>
      </w:r>
      <w:r w:rsidR="005B58B2" w:rsidRPr="00461964">
        <w:rPr>
          <w:rFonts w:ascii="Calibri" w:hAnsi="Calibri" w:cs="Calibri"/>
        </w:rPr>
        <w:t>)</w:t>
      </w:r>
      <w:r w:rsidR="00203D60" w:rsidRPr="00461964">
        <w:rPr>
          <w:rFonts w:ascii="Calibri" w:hAnsi="Calibri" w:cs="Calibri"/>
        </w:rPr>
        <w:t xml:space="preserve"> </w:t>
      </w:r>
      <w:r w:rsidRPr="00461964">
        <w:rPr>
          <w:rFonts w:ascii="Calibri" w:hAnsi="Calibri" w:cs="Calibri"/>
        </w:rPr>
        <w:t xml:space="preserve">data, </w:t>
      </w:r>
      <w:r w:rsidR="009B6341">
        <w:rPr>
          <w:rFonts w:ascii="Calibri" w:hAnsi="Calibri" w:cs="Calibri"/>
        </w:rPr>
        <w:t xml:space="preserve">and </w:t>
      </w:r>
      <w:r w:rsidRPr="00461964">
        <w:rPr>
          <w:rFonts w:ascii="Calibri" w:hAnsi="Calibri" w:cs="Calibri"/>
        </w:rPr>
        <w:t>increased use of epidemiological data</w:t>
      </w:r>
      <w:r w:rsidR="00203D60" w:rsidRPr="00461964">
        <w:rPr>
          <w:rFonts w:ascii="Calibri" w:hAnsi="Calibri" w:cs="Calibri"/>
        </w:rPr>
        <w:t>, there seems to be an</w:t>
      </w:r>
      <w:r w:rsidRPr="00461964">
        <w:rPr>
          <w:rFonts w:ascii="Calibri" w:hAnsi="Calibri" w:cs="Calibri"/>
        </w:rPr>
        <w:t xml:space="preserve"> </w:t>
      </w:r>
      <w:r w:rsidR="00203D60" w:rsidRPr="00461964">
        <w:rPr>
          <w:rFonts w:ascii="Calibri" w:hAnsi="Calibri" w:cs="Calibri"/>
        </w:rPr>
        <w:t>o</w:t>
      </w:r>
      <w:r w:rsidR="00611170" w:rsidRPr="00461964">
        <w:rPr>
          <w:rFonts w:ascii="Calibri" w:hAnsi="Calibri" w:cs="Calibri"/>
        </w:rPr>
        <w:t>verall need for more epidemiological and statistical competence.</w:t>
      </w:r>
      <w:bookmarkEnd w:id="71"/>
    </w:p>
    <w:p w:rsidR="00DB55E7" w:rsidRPr="00461964" w:rsidRDefault="00DB55E7" w:rsidP="00201CE8">
      <w:pPr>
        <w:spacing w:before="100" w:beforeAutospacing="1" w:after="100" w:afterAutospacing="1" w:line="276" w:lineRule="auto"/>
        <w:rPr>
          <w:rFonts w:ascii="Calibri" w:hAnsi="Calibri" w:cs="Calibri"/>
        </w:rPr>
      </w:pPr>
      <w:r w:rsidRPr="00461964">
        <w:rPr>
          <w:rFonts w:ascii="Calibri" w:hAnsi="Calibri" w:cs="Calibri"/>
        </w:rPr>
        <w:t xml:space="preserve">To complement in house expertise and provide scientific input and training, </w:t>
      </w:r>
      <w:r w:rsidR="00542453">
        <w:rPr>
          <w:rFonts w:ascii="Calibri" w:hAnsi="Calibri" w:cs="Calibri"/>
        </w:rPr>
        <w:t xml:space="preserve">in 2000 </w:t>
      </w:r>
      <w:r w:rsidRPr="00461964">
        <w:rPr>
          <w:rFonts w:ascii="Calibri" w:hAnsi="Calibri" w:cs="Calibri"/>
        </w:rPr>
        <w:t>FSANZ established the Science Fellow</w:t>
      </w:r>
      <w:r w:rsidR="00542453">
        <w:rPr>
          <w:rFonts w:ascii="Calibri" w:hAnsi="Calibri" w:cs="Calibri"/>
        </w:rPr>
        <w:t>s</w:t>
      </w:r>
      <w:r w:rsidRPr="00461964">
        <w:rPr>
          <w:rFonts w:ascii="Calibri" w:hAnsi="Calibri" w:cs="Calibri"/>
        </w:rPr>
        <w:t xml:space="preserve"> Program. FSANZ Fellows provide expert advice on applications, proposals and other risk assessment activities of the agency. FSANZ Fellows, within their relevant areas of expertise, also peer review FSANZ work and provide training to FSANZ staff.  </w:t>
      </w:r>
    </w:p>
    <w:p w:rsidR="0080703E" w:rsidRPr="00461964" w:rsidRDefault="009722D8" w:rsidP="00201CE8">
      <w:pPr>
        <w:spacing w:before="100" w:beforeAutospacing="1" w:after="100" w:afterAutospacing="1" w:line="276" w:lineRule="auto"/>
        <w:rPr>
          <w:rFonts w:ascii="Calibri" w:hAnsi="Calibri" w:cs="Calibri"/>
        </w:rPr>
      </w:pPr>
      <w:bookmarkStart w:id="72" w:name="_Toc322935533"/>
      <w:r w:rsidRPr="00461964">
        <w:rPr>
          <w:rFonts w:ascii="Calibri" w:hAnsi="Calibri" w:cs="Calibri"/>
        </w:rPr>
        <w:t xml:space="preserve">The scientific competence and excellence </w:t>
      </w:r>
      <w:r w:rsidR="003C29F0" w:rsidRPr="00461964">
        <w:rPr>
          <w:rFonts w:ascii="Calibri" w:hAnsi="Calibri" w:cs="Calibri"/>
        </w:rPr>
        <w:t xml:space="preserve">of FSANZ risk assessment staff </w:t>
      </w:r>
      <w:r w:rsidRPr="00461964">
        <w:rPr>
          <w:rFonts w:ascii="Calibri" w:hAnsi="Calibri" w:cs="Calibri"/>
        </w:rPr>
        <w:t xml:space="preserve">is well acknowledged </w:t>
      </w:r>
      <w:r w:rsidR="00B90B1F">
        <w:rPr>
          <w:rFonts w:ascii="Calibri" w:hAnsi="Calibri" w:cs="Calibri"/>
        </w:rPr>
        <w:t>by</w:t>
      </w:r>
      <w:r w:rsidRPr="00461964">
        <w:rPr>
          <w:rFonts w:ascii="Calibri" w:hAnsi="Calibri" w:cs="Calibri"/>
        </w:rPr>
        <w:t xml:space="preserve"> key stakeholders</w:t>
      </w:r>
      <w:r w:rsidR="00BC5507">
        <w:rPr>
          <w:rFonts w:ascii="Calibri" w:hAnsi="Calibri" w:cs="Calibri"/>
        </w:rPr>
        <w:t xml:space="preserve"> (see chapter 8)</w:t>
      </w:r>
      <w:r w:rsidRPr="00461964">
        <w:rPr>
          <w:rFonts w:ascii="Calibri" w:hAnsi="Calibri" w:cs="Calibri"/>
        </w:rPr>
        <w:t xml:space="preserve">, </w:t>
      </w:r>
      <w:r w:rsidR="00B90B1F">
        <w:rPr>
          <w:rFonts w:ascii="Calibri" w:hAnsi="Calibri" w:cs="Calibri"/>
        </w:rPr>
        <w:t xml:space="preserve">and </w:t>
      </w:r>
      <w:r w:rsidRPr="00461964">
        <w:rPr>
          <w:rFonts w:ascii="Calibri" w:hAnsi="Calibri" w:cs="Calibri"/>
        </w:rPr>
        <w:t>in the international food risk assessment community. However, there seems</w:t>
      </w:r>
      <w:r w:rsidR="00B1593C" w:rsidRPr="00461964">
        <w:rPr>
          <w:rFonts w:ascii="Calibri" w:hAnsi="Calibri" w:cs="Calibri"/>
        </w:rPr>
        <w:t xml:space="preserve"> to be a</w:t>
      </w:r>
      <w:r w:rsidRPr="00461964">
        <w:rPr>
          <w:rFonts w:ascii="Calibri" w:hAnsi="Calibri" w:cs="Calibri"/>
        </w:rPr>
        <w:t xml:space="preserve"> lack of such acknowledgement in the public, which may create problems in particular on controversial subjects or in crises situations. </w:t>
      </w:r>
      <w:r w:rsidR="00B1593C" w:rsidRPr="00461964">
        <w:rPr>
          <w:rFonts w:ascii="Calibri" w:hAnsi="Calibri" w:cs="Calibri"/>
        </w:rPr>
        <w:t>I</w:t>
      </w:r>
      <w:r w:rsidR="006423EF" w:rsidRPr="00461964">
        <w:rPr>
          <w:rFonts w:ascii="Calibri" w:hAnsi="Calibri" w:cs="Calibri"/>
        </w:rPr>
        <w:t>mproving FSANZ</w:t>
      </w:r>
      <w:r w:rsidR="00541DFF">
        <w:rPr>
          <w:rFonts w:ascii="Calibri" w:hAnsi="Calibri" w:cs="Calibri"/>
        </w:rPr>
        <w:t>’s</w:t>
      </w:r>
      <w:r w:rsidR="00B1593C" w:rsidRPr="00461964">
        <w:rPr>
          <w:rFonts w:ascii="Calibri" w:hAnsi="Calibri" w:cs="Calibri"/>
        </w:rPr>
        <w:t xml:space="preserve"> scientific image may also help to positively influence consumer views and behaviours, and may help to address public perceptions.</w:t>
      </w:r>
      <w:bookmarkEnd w:id="72"/>
      <w:r w:rsidR="005B58B2" w:rsidRPr="00461964">
        <w:rPr>
          <w:rFonts w:ascii="Calibri" w:hAnsi="Calibri" w:cs="Calibri"/>
        </w:rPr>
        <w:t xml:space="preserve"> To achieve this, it may be useful to consider more publication in the scientific literature of work undertaken by FSANZ scientists, and more public</w:t>
      </w:r>
      <w:r w:rsidR="008E21BC">
        <w:rPr>
          <w:rFonts w:ascii="Calibri" w:hAnsi="Calibri" w:cs="Calibri"/>
        </w:rPr>
        <w:t xml:space="preserve"> (e.g. media, town hall meetings)</w:t>
      </w:r>
      <w:r w:rsidR="005B58B2" w:rsidRPr="00461964">
        <w:rPr>
          <w:rFonts w:ascii="Calibri" w:hAnsi="Calibri" w:cs="Calibri"/>
        </w:rPr>
        <w:t xml:space="preserve"> presence of key scientific staff.</w:t>
      </w:r>
    </w:p>
    <w:p w:rsidR="009722D8" w:rsidRPr="00A03138" w:rsidRDefault="008E21BC" w:rsidP="008A3A42">
      <w:pPr>
        <w:pStyle w:val="Heading3"/>
      </w:pPr>
      <w:bookmarkStart w:id="73" w:name="_Toc322935534"/>
      <w:bookmarkStart w:id="74" w:name="_Toc332960020"/>
      <w:r w:rsidRPr="008E21BC">
        <w:t xml:space="preserve">6.3.1. </w:t>
      </w:r>
      <w:r w:rsidR="009722D8" w:rsidRPr="008E21BC">
        <w:t>Recommendations</w:t>
      </w:r>
      <w:r w:rsidR="00A03138" w:rsidRPr="008E21BC">
        <w:t xml:space="preserve"> related to scientific competence</w:t>
      </w:r>
      <w:bookmarkEnd w:id="73"/>
      <w:bookmarkEnd w:id="74"/>
    </w:p>
    <w:p w:rsidR="009722D8" w:rsidRDefault="009722D8" w:rsidP="00201CE8">
      <w:pPr>
        <w:pStyle w:val="ListParagraph"/>
        <w:numPr>
          <w:ilvl w:val="0"/>
          <w:numId w:val="45"/>
        </w:numPr>
        <w:rPr>
          <w:rFonts w:ascii="Calibri" w:hAnsi="Calibri" w:cs="Calibri"/>
        </w:rPr>
      </w:pPr>
      <w:r w:rsidRPr="00461964">
        <w:rPr>
          <w:rFonts w:ascii="Calibri" w:hAnsi="Calibri" w:cs="Calibri"/>
        </w:rPr>
        <w:t>Consider the need for additional competence in epidemiology and statistic</w:t>
      </w:r>
      <w:r w:rsidR="000B2AA9" w:rsidRPr="00461964">
        <w:rPr>
          <w:rFonts w:ascii="Calibri" w:hAnsi="Calibri" w:cs="Calibri"/>
        </w:rPr>
        <w:t xml:space="preserve">s, to be used across </w:t>
      </w:r>
      <w:r w:rsidR="00077763">
        <w:rPr>
          <w:rFonts w:ascii="Calibri" w:hAnsi="Calibri" w:cs="Calibri"/>
        </w:rPr>
        <w:t xml:space="preserve">all </w:t>
      </w:r>
      <w:r w:rsidR="000B2AA9" w:rsidRPr="00461964">
        <w:rPr>
          <w:rFonts w:ascii="Calibri" w:hAnsi="Calibri" w:cs="Calibri"/>
        </w:rPr>
        <w:t>disciplines,</w:t>
      </w:r>
      <w:r w:rsidR="00C45420" w:rsidRPr="00461964">
        <w:rPr>
          <w:rFonts w:ascii="Calibri" w:hAnsi="Calibri" w:cs="Calibri"/>
        </w:rPr>
        <w:t xml:space="preserve"> </w:t>
      </w:r>
      <w:r w:rsidR="000B2AA9" w:rsidRPr="00461964">
        <w:rPr>
          <w:rFonts w:ascii="Calibri" w:hAnsi="Calibri" w:cs="Calibri"/>
        </w:rPr>
        <w:t xml:space="preserve">for </w:t>
      </w:r>
      <w:r w:rsidR="00DD529A" w:rsidRPr="00461964">
        <w:rPr>
          <w:rFonts w:ascii="Calibri" w:hAnsi="Calibri" w:cs="Calibri"/>
        </w:rPr>
        <w:t xml:space="preserve">improved </w:t>
      </w:r>
      <w:r w:rsidR="000B2AA9" w:rsidRPr="00461964">
        <w:rPr>
          <w:rFonts w:ascii="Calibri" w:hAnsi="Calibri" w:cs="Calibri"/>
        </w:rPr>
        <w:t xml:space="preserve">data mining (e.g. surveillance data) and </w:t>
      </w:r>
      <w:r w:rsidR="00DD529A" w:rsidRPr="00461964">
        <w:rPr>
          <w:rFonts w:ascii="Calibri" w:hAnsi="Calibri" w:cs="Calibri"/>
        </w:rPr>
        <w:t xml:space="preserve">improved </w:t>
      </w:r>
      <w:r w:rsidR="000B2AA9" w:rsidRPr="00461964">
        <w:rPr>
          <w:rFonts w:ascii="Calibri" w:hAnsi="Calibri" w:cs="Calibri"/>
        </w:rPr>
        <w:t>integration of all data in risk assessment.</w:t>
      </w:r>
    </w:p>
    <w:p w:rsidR="00B90B1F" w:rsidRPr="00461964" w:rsidRDefault="00B90B1F" w:rsidP="00201CE8">
      <w:pPr>
        <w:pStyle w:val="ListParagraph"/>
        <w:ind w:left="709"/>
        <w:rPr>
          <w:rFonts w:ascii="Calibri" w:hAnsi="Calibri" w:cs="Calibri"/>
        </w:rPr>
      </w:pPr>
    </w:p>
    <w:p w:rsidR="009722D8" w:rsidRDefault="009722D8" w:rsidP="00201CE8">
      <w:pPr>
        <w:pStyle w:val="ListParagraph"/>
        <w:numPr>
          <w:ilvl w:val="0"/>
          <w:numId w:val="45"/>
        </w:numPr>
        <w:rPr>
          <w:rFonts w:ascii="Calibri" w:hAnsi="Calibri" w:cs="Calibri"/>
        </w:rPr>
      </w:pPr>
      <w:bookmarkStart w:id="75" w:name="_Toc322935535"/>
      <w:r w:rsidRPr="00461964">
        <w:rPr>
          <w:rFonts w:ascii="Calibri" w:hAnsi="Calibri" w:cs="Calibri"/>
        </w:rPr>
        <w:t xml:space="preserve">Consider </w:t>
      </w:r>
      <w:r w:rsidR="00EB3863">
        <w:rPr>
          <w:rFonts w:ascii="Calibri" w:hAnsi="Calibri" w:cs="Calibri"/>
        </w:rPr>
        <w:t xml:space="preserve">the need </w:t>
      </w:r>
      <w:r w:rsidRPr="00461964">
        <w:rPr>
          <w:rFonts w:ascii="Calibri" w:hAnsi="Calibri" w:cs="Calibri"/>
        </w:rPr>
        <w:t xml:space="preserve">to undertake efforts to improve the public image of FSANZ </w:t>
      </w:r>
      <w:r w:rsidR="00077763">
        <w:rPr>
          <w:rFonts w:ascii="Calibri" w:hAnsi="Calibri" w:cs="Calibri"/>
        </w:rPr>
        <w:t xml:space="preserve">in terms of </w:t>
      </w:r>
      <w:r w:rsidRPr="00461964">
        <w:rPr>
          <w:rFonts w:ascii="Calibri" w:hAnsi="Calibri" w:cs="Calibri"/>
        </w:rPr>
        <w:t>scientific competence</w:t>
      </w:r>
      <w:r w:rsidR="00A86710" w:rsidRPr="00461964">
        <w:rPr>
          <w:rFonts w:ascii="Calibri" w:hAnsi="Calibri" w:cs="Calibri"/>
        </w:rPr>
        <w:t>.</w:t>
      </w:r>
      <w:bookmarkEnd w:id="75"/>
      <w:r w:rsidR="00D14EFD" w:rsidRPr="00461964">
        <w:rPr>
          <w:rFonts w:ascii="Calibri" w:hAnsi="Calibri" w:cs="Calibri"/>
        </w:rPr>
        <w:t xml:space="preserve"> </w:t>
      </w:r>
    </w:p>
    <w:p w:rsidR="00B90B1F" w:rsidRPr="00201CE8" w:rsidRDefault="00B90B1F" w:rsidP="00201CE8">
      <w:pPr>
        <w:pStyle w:val="ListParagraph"/>
        <w:rPr>
          <w:rFonts w:ascii="Calibri" w:hAnsi="Calibri" w:cs="Calibri"/>
        </w:rPr>
      </w:pPr>
    </w:p>
    <w:p w:rsidR="001C73D0" w:rsidRPr="001C73D0" w:rsidRDefault="001C73D0" w:rsidP="00201CE8">
      <w:pPr>
        <w:pStyle w:val="ListParagraph"/>
        <w:numPr>
          <w:ilvl w:val="0"/>
          <w:numId w:val="45"/>
        </w:numPr>
        <w:rPr>
          <w:rFonts w:asciiTheme="minorHAnsi" w:hAnsiTheme="minorHAnsi" w:cstheme="minorHAnsi"/>
        </w:rPr>
      </w:pPr>
      <w:r>
        <w:rPr>
          <w:rFonts w:asciiTheme="minorHAnsi" w:hAnsiTheme="minorHAnsi" w:cstheme="minorHAnsi"/>
          <w:lang w:val="en-AU"/>
        </w:rPr>
        <w:t>C</w:t>
      </w:r>
      <w:proofErr w:type="spellStart"/>
      <w:r w:rsidRPr="00896106">
        <w:rPr>
          <w:rFonts w:asciiTheme="minorHAnsi" w:hAnsiTheme="minorHAnsi" w:cstheme="minorHAnsi"/>
        </w:rPr>
        <w:t>ontinue</w:t>
      </w:r>
      <w:proofErr w:type="spellEnd"/>
      <w:r w:rsidRPr="00896106">
        <w:rPr>
          <w:rFonts w:asciiTheme="minorHAnsi" w:hAnsiTheme="minorHAnsi" w:cstheme="minorHAnsi"/>
        </w:rPr>
        <w:t xml:space="preserve"> to ensure a high level of staff training and to provide opportunities to retain scientific staff experienced in risk assessment. </w:t>
      </w:r>
    </w:p>
    <w:p w:rsidR="007C7016" w:rsidRDefault="005B49D6" w:rsidP="008A3A42">
      <w:pPr>
        <w:pStyle w:val="Heading2"/>
      </w:pPr>
      <w:bookmarkStart w:id="76" w:name="_Toc322935536"/>
      <w:bookmarkStart w:id="77" w:name="_Toc332960021"/>
      <w:r>
        <w:lastRenderedPageBreak/>
        <w:t>6.</w:t>
      </w:r>
      <w:r w:rsidR="00611170">
        <w:t>4</w:t>
      </w:r>
      <w:r>
        <w:t>. Transparency of the process</w:t>
      </w:r>
      <w:r w:rsidR="00C7072A">
        <w:t xml:space="preserve"> </w:t>
      </w:r>
      <w:r w:rsidR="00DD529A">
        <w:t>(including prioritization</w:t>
      </w:r>
      <w:r w:rsidR="00C7072A" w:rsidRPr="009B4C49">
        <w:t>)</w:t>
      </w:r>
      <w:bookmarkEnd w:id="76"/>
      <w:bookmarkEnd w:id="77"/>
    </w:p>
    <w:p w:rsidR="0080703E" w:rsidRPr="00461964" w:rsidRDefault="00346693" w:rsidP="00201CE8">
      <w:pPr>
        <w:spacing w:before="100" w:beforeAutospacing="1" w:after="100" w:afterAutospacing="1" w:line="276" w:lineRule="auto"/>
        <w:rPr>
          <w:rFonts w:ascii="Calibri" w:hAnsi="Calibri" w:cs="Calibri"/>
        </w:rPr>
      </w:pPr>
      <w:bookmarkStart w:id="78" w:name="_Toc322935537"/>
      <w:r w:rsidRPr="00461964">
        <w:rPr>
          <w:rFonts w:ascii="Calibri" w:hAnsi="Calibri" w:cs="Calibri"/>
        </w:rPr>
        <w:t xml:space="preserve">This </w:t>
      </w:r>
      <w:r w:rsidR="00B90B1F">
        <w:rPr>
          <w:rFonts w:ascii="Calibri" w:hAnsi="Calibri" w:cs="Calibri"/>
        </w:rPr>
        <w:t xml:space="preserve">part of the report </w:t>
      </w:r>
      <w:r w:rsidR="00DD529A" w:rsidRPr="00461964">
        <w:rPr>
          <w:rFonts w:ascii="Calibri" w:hAnsi="Calibri" w:cs="Calibri"/>
        </w:rPr>
        <w:t>refers</w:t>
      </w:r>
      <w:r w:rsidRPr="00461964">
        <w:rPr>
          <w:rFonts w:ascii="Calibri" w:hAnsi="Calibri" w:cs="Calibri"/>
        </w:rPr>
        <w:t xml:space="preserve"> the clarity of the</w:t>
      </w:r>
      <w:r w:rsidR="00DD529A" w:rsidRPr="00461964">
        <w:rPr>
          <w:rFonts w:ascii="Calibri" w:hAnsi="Calibri" w:cs="Calibri"/>
        </w:rPr>
        <w:t xml:space="preserve"> process and </w:t>
      </w:r>
      <w:r w:rsidRPr="00461964">
        <w:rPr>
          <w:rFonts w:ascii="Calibri" w:hAnsi="Calibri" w:cs="Calibri"/>
        </w:rPr>
        <w:t xml:space="preserve">explicit documentation of all procedures, policies and practices. </w:t>
      </w:r>
      <w:r w:rsidR="00FB7546" w:rsidRPr="00461964">
        <w:rPr>
          <w:rFonts w:ascii="Calibri" w:hAnsi="Calibri" w:cs="Calibri"/>
        </w:rPr>
        <w:t>T</w:t>
      </w:r>
      <w:r w:rsidR="00FB0401" w:rsidRPr="00461964">
        <w:rPr>
          <w:rFonts w:ascii="Calibri" w:hAnsi="Calibri" w:cs="Calibri"/>
        </w:rPr>
        <w:t>he prioritiz</w:t>
      </w:r>
      <w:r w:rsidR="00FB7546" w:rsidRPr="00461964">
        <w:rPr>
          <w:rFonts w:ascii="Calibri" w:hAnsi="Calibri" w:cs="Calibri"/>
        </w:rPr>
        <w:t>ation process</w:t>
      </w:r>
      <w:r w:rsidR="00DD529A" w:rsidRPr="00461964">
        <w:rPr>
          <w:rFonts w:ascii="Calibri" w:hAnsi="Calibri" w:cs="Calibri"/>
        </w:rPr>
        <w:t xml:space="preserve"> for risk assessment work</w:t>
      </w:r>
      <w:r w:rsidR="00FB7546" w:rsidRPr="00461964">
        <w:rPr>
          <w:rFonts w:ascii="Calibri" w:hAnsi="Calibri" w:cs="Calibri"/>
        </w:rPr>
        <w:t xml:space="preserve"> is also considered.</w:t>
      </w:r>
      <w:bookmarkEnd w:id="78"/>
      <w:r w:rsidRPr="00461964">
        <w:rPr>
          <w:rFonts w:ascii="Calibri" w:hAnsi="Calibri" w:cs="Calibri"/>
        </w:rPr>
        <w:t xml:space="preserve"> </w:t>
      </w:r>
    </w:p>
    <w:p w:rsidR="000D3F9A" w:rsidRPr="00461964" w:rsidRDefault="0080703E" w:rsidP="00201CE8">
      <w:pPr>
        <w:spacing w:before="100" w:beforeAutospacing="1" w:after="100" w:afterAutospacing="1" w:line="276" w:lineRule="auto"/>
        <w:rPr>
          <w:rFonts w:ascii="Calibri" w:hAnsi="Calibri" w:cs="Calibri"/>
        </w:rPr>
      </w:pPr>
      <w:bookmarkStart w:id="79" w:name="_Toc322935538"/>
      <w:r w:rsidRPr="00461964">
        <w:rPr>
          <w:rFonts w:ascii="Calibri" w:hAnsi="Calibri" w:cs="Calibri"/>
        </w:rPr>
        <w:t>Regarding documentation of the process, FSANZ has developed</w:t>
      </w:r>
      <w:r w:rsidR="00E95B7B">
        <w:rPr>
          <w:rFonts w:ascii="Calibri" w:hAnsi="Calibri" w:cs="Calibri"/>
        </w:rPr>
        <w:t>,</w:t>
      </w:r>
      <w:r w:rsidRPr="00461964">
        <w:rPr>
          <w:rFonts w:ascii="Calibri" w:hAnsi="Calibri" w:cs="Calibri"/>
        </w:rPr>
        <w:t xml:space="preserve"> and updates as necessary</w:t>
      </w:r>
      <w:r w:rsidR="00E95B7B">
        <w:rPr>
          <w:rFonts w:ascii="Calibri" w:hAnsi="Calibri" w:cs="Calibri"/>
        </w:rPr>
        <w:t>,</w:t>
      </w:r>
      <w:r w:rsidRPr="00461964">
        <w:rPr>
          <w:rFonts w:ascii="Calibri" w:hAnsi="Calibri" w:cs="Calibri"/>
        </w:rPr>
        <w:t xml:space="preserve"> critical documents.  </w:t>
      </w:r>
      <w:r w:rsidR="00D83082" w:rsidRPr="00461964">
        <w:rPr>
          <w:rFonts w:ascii="Calibri" w:hAnsi="Calibri" w:cs="Calibri"/>
        </w:rPr>
        <w:t xml:space="preserve">The </w:t>
      </w:r>
      <w:r w:rsidR="00B90B1F" w:rsidRPr="007515F4">
        <w:rPr>
          <w:rFonts w:ascii="Calibri" w:hAnsi="Calibri" w:cs="Calibri"/>
        </w:rPr>
        <w:t>A</w:t>
      </w:r>
      <w:r w:rsidR="00AE5C94" w:rsidRPr="007515F4">
        <w:rPr>
          <w:rFonts w:ascii="Calibri" w:hAnsi="Calibri" w:cs="Calibri"/>
        </w:rPr>
        <w:t xml:space="preserve">pplications </w:t>
      </w:r>
      <w:r w:rsidR="00B90B1F" w:rsidRPr="007515F4">
        <w:rPr>
          <w:rFonts w:ascii="Calibri" w:hAnsi="Calibri" w:cs="Calibri"/>
        </w:rPr>
        <w:t>H</w:t>
      </w:r>
      <w:r w:rsidR="00D83082" w:rsidRPr="007515F4">
        <w:rPr>
          <w:rFonts w:ascii="Calibri" w:hAnsi="Calibri" w:cs="Calibri"/>
        </w:rPr>
        <w:t>andbook</w:t>
      </w:r>
      <w:r w:rsidR="004836CD">
        <w:rPr>
          <w:rFonts w:ascii="Calibri" w:hAnsi="Calibri" w:cs="Calibri"/>
        </w:rPr>
        <w:t xml:space="preserve"> </w:t>
      </w:r>
      <w:r w:rsidR="00D83082" w:rsidRPr="00461964">
        <w:rPr>
          <w:rFonts w:ascii="Calibri" w:hAnsi="Calibri" w:cs="Calibri"/>
        </w:rPr>
        <w:t xml:space="preserve">is an important public document </w:t>
      </w:r>
      <w:r w:rsidR="00F60596">
        <w:rPr>
          <w:rFonts w:ascii="Calibri" w:hAnsi="Calibri" w:cs="Calibri"/>
        </w:rPr>
        <w:t>explaining</w:t>
      </w:r>
      <w:r w:rsidR="00D83082" w:rsidRPr="00461964">
        <w:rPr>
          <w:rFonts w:ascii="Calibri" w:hAnsi="Calibri" w:cs="Calibri"/>
        </w:rPr>
        <w:t xml:space="preserve"> the process for all stakeholders</w:t>
      </w:r>
      <w:r w:rsidR="00F60596">
        <w:rPr>
          <w:rFonts w:ascii="Calibri" w:hAnsi="Calibri" w:cs="Calibri"/>
        </w:rPr>
        <w:t xml:space="preserve"> and</w:t>
      </w:r>
      <w:r w:rsidR="00D83082" w:rsidRPr="00461964">
        <w:rPr>
          <w:rFonts w:ascii="Calibri" w:hAnsi="Calibri" w:cs="Calibri"/>
        </w:rPr>
        <w:t xml:space="preserve"> laying out </w:t>
      </w:r>
      <w:r w:rsidR="004836CD">
        <w:rPr>
          <w:rFonts w:ascii="Calibri" w:hAnsi="Calibri" w:cs="Calibri"/>
        </w:rPr>
        <w:t xml:space="preserve">the </w:t>
      </w:r>
      <w:r w:rsidR="00D83082" w:rsidRPr="00461964">
        <w:rPr>
          <w:rFonts w:ascii="Calibri" w:hAnsi="Calibri" w:cs="Calibri"/>
        </w:rPr>
        <w:t>requirements</w:t>
      </w:r>
      <w:r w:rsidR="004836CD">
        <w:rPr>
          <w:rFonts w:ascii="Calibri" w:hAnsi="Calibri" w:cs="Calibri"/>
        </w:rPr>
        <w:t xml:space="preserve"> </w:t>
      </w:r>
      <w:r w:rsidR="00F60596">
        <w:rPr>
          <w:rFonts w:ascii="Calibri" w:hAnsi="Calibri" w:cs="Calibri"/>
        </w:rPr>
        <w:t xml:space="preserve">for </w:t>
      </w:r>
      <w:r w:rsidR="004836CD">
        <w:rPr>
          <w:rFonts w:ascii="Calibri" w:hAnsi="Calibri" w:cs="Calibri"/>
        </w:rPr>
        <w:t>submitting applications</w:t>
      </w:r>
      <w:r w:rsidR="00D83082" w:rsidRPr="00461964">
        <w:rPr>
          <w:rFonts w:ascii="Calibri" w:hAnsi="Calibri" w:cs="Calibri"/>
        </w:rPr>
        <w:t>.  T</w:t>
      </w:r>
      <w:r w:rsidRPr="00461964">
        <w:rPr>
          <w:rFonts w:ascii="Calibri" w:hAnsi="Calibri" w:cs="Calibri"/>
        </w:rPr>
        <w:t xml:space="preserve">he in-house staff guide for </w:t>
      </w:r>
      <w:r w:rsidR="00B90B1F">
        <w:rPr>
          <w:rFonts w:ascii="Calibri" w:hAnsi="Calibri" w:cs="Calibri"/>
        </w:rPr>
        <w:t>assessing</w:t>
      </w:r>
      <w:r w:rsidRPr="00461964">
        <w:rPr>
          <w:rFonts w:ascii="Calibri" w:hAnsi="Calibri" w:cs="Calibri"/>
        </w:rPr>
        <w:t xml:space="preserve"> applications and proposals is a very detailed and clear document, </w:t>
      </w:r>
      <w:r w:rsidR="00EB3863">
        <w:rPr>
          <w:rFonts w:ascii="Calibri" w:hAnsi="Calibri" w:cs="Calibri"/>
        </w:rPr>
        <w:t xml:space="preserve">which </w:t>
      </w:r>
      <w:r w:rsidRPr="00461964">
        <w:rPr>
          <w:rFonts w:ascii="Calibri" w:hAnsi="Calibri" w:cs="Calibri"/>
        </w:rPr>
        <w:t>assist</w:t>
      </w:r>
      <w:r w:rsidR="00EB3863">
        <w:rPr>
          <w:rFonts w:ascii="Calibri" w:hAnsi="Calibri" w:cs="Calibri"/>
        </w:rPr>
        <w:t>s</w:t>
      </w:r>
      <w:r w:rsidRPr="00461964">
        <w:rPr>
          <w:rFonts w:ascii="Calibri" w:hAnsi="Calibri" w:cs="Calibri"/>
        </w:rPr>
        <w:t xml:space="preserve"> the consistency of the risk assessment process. </w:t>
      </w:r>
      <w:r w:rsidR="001B5DA8" w:rsidRPr="00461964">
        <w:rPr>
          <w:rFonts w:ascii="Calibri" w:hAnsi="Calibri" w:cs="Calibri"/>
        </w:rPr>
        <w:t>Other in</w:t>
      </w:r>
      <w:r w:rsidR="00E95B7B">
        <w:rPr>
          <w:rFonts w:ascii="Calibri" w:hAnsi="Calibri" w:cs="Calibri"/>
        </w:rPr>
        <w:t>-</w:t>
      </w:r>
      <w:r w:rsidR="001B5DA8" w:rsidRPr="00461964">
        <w:rPr>
          <w:rFonts w:ascii="Calibri" w:hAnsi="Calibri" w:cs="Calibri"/>
        </w:rPr>
        <w:t>house guidance documents</w:t>
      </w:r>
      <w:r w:rsidR="009A7E78" w:rsidRPr="00461964">
        <w:rPr>
          <w:rFonts w:ascii="Calibri" w:hAnsi="Calibri" w:cs="Calibri"/>
        </w:rPr>
        <w:t>, some of them more recently implemented to improve overall project management,</w:t>
      </w:r>
      <w:r w:rsidR="001B5DA8" w:rsidRPr="00461964">
        <w:rPr>
          <w:rFonts w:ascii="Calibri" w:hAnsi="Calibri" w:cs="Calibri"/>
        </w:rPr>
        <w:t xml:space="preserve"> are established as </w:t>
      </w:r>
      <w:r w:rsidR="00EB3863">
        <w:rPr>
          <w:rFonts w:ascii="Calibri" w:hAnsi="Calibri" w:cs="Calibri"/>
        </w:rPr>
        <w:t xml:space="preserve">a </w:t>
      </w:r>
      <w:r w:rsidR="001B5DA8" w:rsidRPr="00461964">
        <w:rPr>
          <w:rFonts w:ascii="Calibri" w:hAnsi="Calibri" w:cs="Calibri"/>
        </w:rPr>
        <w:t xml:space="preserve">guide for risk assessors, e.g. the quick guide for the risk assessment plan. </w:t>
      </w:r>
      <w:r w:rsidR="000D3F9A" w:rsidRPr="00461964">
        <w:rPr>
          <w:rFonts w:ascii="Calibri" w:hAnsi="Calibri" w:cs="Calibri"/>
        </w:rPr>
        <w:t>The requirement to establish a risk assessment plan is an important improvement and can be an important decision-making tool</w:t>
      </w:r>
      <w:bookmarkEnd w:id="79"/>
      <w:r w:rsidR="00552039" w:rsidRPr="00461964">
        <w:rPr>
          <w:rFonts w:ascii="Calibri" w:hAnsi="Calibri" w:cs="Calibri"/>
        </w:rPr>
        <w:t xml:space="preserve">, in particular for complex risk assessments. </w:t>
      </w:r>
    </w:p>
    <w:p w:rsidR="001B5DA8" w:rsidRPr="00461964" w:rsidRDefault="008240A0" w:rsidP="00201CE8">
      <w:pPr>
        <w:spacing w:before="100" w:beforeAutospacing="1" w:after="100" w:afterAutospacing="1" w:line="276" w:lineRule="auto"/>
        <w:rPr>
          <w:rFonts w:ascii="Calibri" w:hAnsi="Calibri" w:cs="Calibri"/>
        </w:rPr>
      </w:pPr>
      <w:bookmarkStart w:id="80" w:name="_Toc322935539"/>
      <w:r w:rsidRPr="00461964">
        <w:rPr>
          <w:rFonts w:ascii="Calibri" w:hAnsi="Calibri" w:cs="Calibri"/>
        </w:rPr>
        <w:t xml:space="preserve">A </w:t>
      </w:r>
      <w:r w:rsidR="00B90B1F">
        <w:rPr>
          <w:rFonts w:ascii="Calibri" w:hAnsi="Calibri" w:cs="Calibri"/>
        </w:rPr>
        <w:t xml:space="preserve">strength of FSANZ is that all risk assessments for applications and proposals are publicly notified </w:t>
      </w:r>
      <w:proofErr w:type="gramStart"/>
      <w:r w:rsidR="00B90B1F">
        <w:rPr>
          <w:rFonts w:ascii="Calibri" w:hAnsi="Calibri" w:cs="Calibri"/>
        </w:rPr>
        <w:t xml:space="preserve">and </w:t>
      </w:r>
      <w:r w:rsidR="000D3F9A" w:rsidRPr="00461964">
        <w:rPr>
          <w:rFonts w:ascii="Calibri" w:hAnsi="Calibri" w:cs="Calibri"/>
        </w:rPr>
        <w:t xml:space="preserve"> all</w:t>
      </w:r>
      <w:proofErr w:type="gramEnd"/>
      <w:r w:rsidR="000D3F9A" w:rsidRPr="00461964">
        <w:rPr>
          <w:rFonts w:ascii="Calibri" w:hAnsi="Calibri" w:cs="Calibri"/>
        </w:rPr>
        <w:t xml:space="preserve"> data considered in applications </w:t>
      </w:r>
      <w:r w:rsidR="00B90B1F">
        <w:rPr>
          <w:rFonts w:ascii="Calibri" w:hAnsi="Calibri" w:cs="Calibri"/>
        </w:rPr>
        <w:t xml:space="preserve">is </w:t>
      </w:r>
      <w:r w:rsidR="00074A5D" w:rsidRPr="00461964">
        <w:rPr>
          <w:rFonts w:ascii="Calibri" w:hAnsi="Calibri" w:cs="Calibri"/>
        </w:rPr>
        <w:t xml:space="preserve">now </w:t>
      </w:r>
      <w:r w:rsidR="000D3F9A" w:rsidRPr="00461964">
        <w:rPr>
          <w:rFonts w:ascii="Calibri" w:hAnsi="Calibri" w:cs="Calibri"/>
        </w:rPr>
        <w:t>publicly available.</w:t>
      </w:r>
      <w:bookmarkEnd w:id="80"/>
      <w:r w:rsidR="000D3F9A" w:rsidRPr="00461964">
        <w:rPr>
          <w:rFonts w:ascii="Calibri" w:hAnsi="Calibri" w:cs="Calibri"/>
        </w:rPr>
        <w:t xml:space="preserve"> </w:t>
      </w:r>
    </w:p>
    <w:p w:rsidR="007C7016" w:rsidRPr="00461964" w:rsidRDefault="00074A5D" w:rsidP="00201CE8">
      <w:pPr>
        <w:spacing w:before="100" w:beforeAutospacing="1" w:after="100" w:afterAutospacing="1" w:line="276" w:lineRule="auto"/>
        <w:rPr>
          <w:rFonts w:ascii="Calibri" w:hAnsi="Calibri" w:cs="Calibri"/>
        </w:rPr>
      </w:pPr>
      <w:r w:rsidRPr="00201CE8">
        <w:rPr>
          <w:rFonts w:ascii="Calibri" w:hAnsi="Calibri" w:cs="Calibri"/>
        </w:rPr>
        <w:t>T</w:t>
      </w:r>
      <w:r w:rsidR="004C7837" w:rsidRPr="00B90B1F">
        <w:rPr>
          <w:rFonts w:ascii="Calibri" w:hAnsi="Calibri" w:cs="Calibri"/>
        </w:rPr>
        <w:t>here</w:t>
      </w:r>
      <w:r w:rsidR="004C7837" w:rsidRPr="00461964">
        <w:rPr>
          <w:rFonts w:ascii="Calibri" w:hAnsi="Calibri" w:cs="Calibri"/>
        </w:rPr>
        <w:t xml:space="preserve"> is a process in place, to </w:t>
      </w:r>
      <w:r w:rsidR="00EB3863">
        <w:rPr>
          <w:rFonts w:ascii="Calibri" w:hAnsi="Calibri" w:cs="Calibri"/>
        </w:rPr>
        <w:t>en</w:t>
      </w:r>
      <w:r w:rsidR="004C7837" w:rsidRPr="00461964">
        <w:rPr>
          <w:rFonts w:ascii="Calibri" w:hAnsi="Calibri" w:cs="Calibri"/>
        </w:rPr>
        <w:t>sure that all risk assessment requests and needs are prioritized.</w:t>
      </w:r>
      <w:r w:rsidR="00E570EB" w:rsidRPr="00461964">
        <w:rPr>
          <w:rFonts w:ascii="Calibri" w:hAnsi="Calibri" w:cs="Calibri"/>
        </w:rPr>
        <w:t xml:space="preserve"> All risk assessments abov</w:t>
      </w:r>
      <w:r w:rsidR="00E471E7">
        <w:rPr>
          <w:rFonts w:ascii="Calibri" w:hAnsi="Calibri" w:cs="Calibri"/>
        </w:rPr>
        <w:t xml:space="preserve">e certain resource requirements </w:t>
      </w:r>
      <w:r w:rsidR="00E570EB" w:rsidRPr="00461964">
        <w:rPr>
          <w:rFonts w:ascii="Calibri" w:hAnsi="Calibri" w:cs="Calibri"/>
        </w:rPr>
        <w:t xml:space="preserve">are included in a plan discussed by the FSANZ Executive. Smaller tasks are prioritised by </w:t>
      </w:r>
      <w:r w:rsidR="00B90B1F">
        <w:rPr>
          <w:rFonts w:ascii="Calibri" w:hAnsi="Calibri" w:cs="Calibri"/>
        </w:rPr>
        <w:t>s</w:t>
      </w:r>
      <w:r w:rsidR="00E570EB" w:rsidRPr="00461964">
        <w:rPr>
          <w:rFonts w:ascii="Calibri" w:hAnsi="Calibri" w:cs="Calibri"/>
        </w:rPr>
        <w:t xml:space="preserve">ection </w:t>
      </w:r>
      <w:r w:rsidR="00B90B1F">
        <w:rPr>
          <w:rFonts w:ascii="Calibri" w:hAnsi="Calibri" w:cs="Calibri"/>
        </w:rPr>
        <w:t>m</w:t>
      </w:r>
      <w:r w:rsidR="00E570EB" w:rsidRPr="00461964">
        <w:rPr>
          <w:rFonts w:ascii="Calibri" w:hAnsi="Calibri" w:cs="Calibri"/>
        </w:rPr>
        <w:t xml:space="preserve">angers. Many priorities are </w:t>
      </w:r>
      <w:r w:rsidR="007C7016" w:rsidRPr="00461964">
        <w:rPr>
          <w:rFonts w:ascii="Calibri" w:hAnsi="Calibri" w:cs="Calibri"/>
        </w:rPr>
        <w:t>di</w:t>
      </w:r>
      <w:r w:rsidR="00E570EB" w:rsidRPr="00461964">
        <w:rPr>
          <w:rFonts w:ascii="Calibri" w:hAnsi="Calibri" w:cs="Calibri"/>
        </w:rPr>
        <w:t>ctated by the regulatory framework</w:t>
      </w:r>
      <w:r w:rsidR="004836CD">
        <w:rPr>
          <w:rFonts w:ascii="Calibri" w:hAnsi="Calibri" w:cs="Calibri"/>
        </w:rPr>
        <w:t xml:space="preserve"> (applications</w:t>
      </w:r>
      <w:r w:rsidR="00B17984">
        <w:rPr>
          <w:rFonts w:ascii="Calibri" w:hAnsi="Calibri" w:cs="Calibri"/>
        </w:rPr>
        <w:t xml:space="preserve"> and proposals</w:t>
      </w:r>
      <w:r w:rsidR="004836CD">
        <w:rPr>
          <w:rFonts w:ascii="Calibri" w:hAnsi="Calibri" w:cs="Calibri"/>
        </w:rPr>
        <w:t>)</w:t>
      </w:r>
      <w:r w:rsidR="00B17984">
        <w:rPr>
          <w:rFonts w:ascii="Calibri" w:hAnsi="Calibri" w:cs="Calibri"/>
        </w:rPr>
        <w:t>, with the risk assessment being part of a larger project, which is also prioritised</w:t>
      </w:r>
      <w:r w:rsidR="00E570EB" w:rsidRPr="00461964">
        <w:rPr>
          <w:rFonts w:ascii="Calibri" w:hAnsi="Calibri" w:cs="Calibri"/>
        </w:rPr>
        <w:t xml:space="preserve">. </w:t>
      </w:r>
      <w:r w:rsidR="00894D9E" w:rsidRPr="00461964">
        <w:rPr>
          <w:rFonts w:ascii="Calibri" w:hAnsi="Calibri" w:cs="Calibri"/>
        </w:rPr>
        <w:t xml:space="preserve">For smaller tasks and </w:t>
      </w:r>
      <w:r w:rsidR="00894D9E" w:rsidRPr="00201CE8">
        <w:rPr>
          <w:rFonts w:ascii="Calibri" w:hAnsi="Calibri" w:cs="Calibri"/>
        </w:rPr>
        <w:t>ad hoc</w:t>
      </w:r>
      <w:r w:rsidR="00894D9E" w:rsidRPr="00461964">
        <w:rPr>
          <w:rFonts w:ascii="Calibri" w:hAnsi="Calibri" w:cs="Calibri"/>
        </w:rPr>
        <w:t xml:space="preserve"> requests the prioritization process is less clear and may present a challenge in specific areas (see under 6.2.). </w:t>
      </w:r>
      <w:r w:rsidR="001C453E">
        <w:rPr>
          <w:rFonts w:ascii="Calibri" w:hAnsi="Calibri" w:cs="Calibri"/>
        </w:rPr>
        <w:t>A b</w:t>
      </w:r>
      <w:r w:rsidRPr="00461964">
        <w:rPr>
          <w:rFonts w:ascii="Calibri" w:hAnsi="Calibri" w:cs="Calibri"/>
        </w:rPr>
        <w:t xml:space="preserve">etter documented overall prioritization </w:t>
      </w:r>
      <w:r w:rsidR="00894D9E" w:rsidRPr="00461964">
        <w:rPr>
          <w:rFonts w:ascii="Calibri" w:hAnsi="Calibri" w:cs="Calibri"/>
        </w:rPr>
        <w:t xml:space="preserve">process </w:t>
      </w:r>
      <w:r w:rsidRPr="00461964">
        <w:rPr>
          <w:rFonts w:ascii="Calibri" w:hAnsi="Calibri" w:cs="Calibri"/>
        </w:rPr>
        <w:t xml:space="preserve">could be helpful in resource tracking and allocation.  </w:t>
      </w:r>
    </w:p>
    <w:p w:rsidR="000D2C1B" w:rsidRPr="004836CD" w:rsidRDefault="00E471E7" w:rsidP="008A3A42">
      <w:pPr>
        <w:pStyle w:val="Heading3"/>
      </w:pPr>
      <w:bookmarkStart w:id="81" w:name="_Toc322935540"/>
      <w:bookmarkStart w:id="82" w:name="_Toc332960022"/>
      <w:r>
        <w:t xml:space="preserve">6.4.1. </w:t>
      </w:r>
      <w:r w:rsidR="006C2BB8" w:rsidRPr="004836CD">
        <w:t>Recommendation</w:t>
      </w:r>
      <w:r w:rsidR="004836CD" w:rsidRPr="004836CD">
        <w:t xml:space="preserve"> regarding transparency and prioritization</w:t>
      </w:r>
      <w:bookmarkEnd w:id="81"/>
      <w:bookmarkEnd w:id="82"/>
    </w:p>
    <w:p w:rsidR="00C675A6" w:rsidRPr="00461964" w:rsidRDefault="00E95B7B" w:rsidP="00201CE8">
      <w:pPr>
        <w:pStyle w:val="ListParagraph"/>
        <w:numPr>
          <w:ilvl w:val="0"/>
          <w:numId w:val="46"/>
        </w:numPr>
        <w:rPr>
          <w:rFonts w:ascii="Calibri" w:hAnsi="Calibri" w:cs="Calibri"/>
        </w:rPr>
      </w:pPr>
      <w:r>
        <w:rPr>
          <w:rFonts w:ascii="Calibri" w:hAnsi="Calibri" w:cs="Calibri"/>
        </w:rPr>
        <w:t>There is a need for a c</w:t>
      </w:r>
      <w:r w:rsidR="00C675A6" w:rsidRPr="00461964">
        <w:rPr>
          <w:rFonts w:ascii="Calibri" w:hAnsi="Calibri" w:cs="Calibri"/>
        </w:rPr>
        <w:t xml:space="preserve">learer/more transparent prioritization process for all work, including those that are decided at the section level. </w:t>
      </w:r>
    </w:p>
    <w:p w:rsidR="000D2C1B" w:rsidRPr="00C675A6" w:rsidRDefault="000D2C1B" w:rsidP="003B2DBB">
      <w:pPr>
        <w:spacing w:after="0"/>
        <w:ind w:firstLine="284"/>
        <w:rPr>
          <w:lang w:val="en-GB"/>
        </w:rPr>
      </w:pPr>
    </w:p>
    <w:p w:rsidR="00865BAE" w:rsidRDefault="00611170" w:rsidP="008A3A42">
      <w:pPr>
        <w:pStyle w:val="Heading2"/>
      </w:pPr>
      <w:bookmarkStart w:id="83" w:name="_Toc322935541"/>
      <w:bookmarkStart w:id="84" w:name="_Toc332960023"/>
      <w:r>
        <w:t>6.5</w:t>
      </w:r>
      <w:r w:rsidR="002D6604">
        <w:t>. Soundness of the pro</w:t>
      </w:r>
      <w:r w:rsidR="00865BAE">
        <w:t>cess and the applied principles</w:t>
      </w:r>
      <w:bookmarkEnd w:id="83"/>
      <w:bookmarkEnd w:id="84"/>
    </w:p>
    <w:p w:rsidR="000C435D" w:rsidRPr="00461964" w:rsidRDefault="000C435D" w:rsidP="00201CE8">
      <w:pPr>
        <w:spacing w:before="100" w:beforeAutospacing="1" w:after="100" w:afterAutospacing="1" w:line="276" w:lineRule="auto"/>
        <w:rPr>
          <w:rFonts w:ascii="Calibri" w:hAnsi="Calibri" w:cs="Calibri"/>
        </w:rPr>
      </w:pPr>
      <w:r w:rsidRPr="00461964">
        <w:rPr>
          <w:rFonts w:ascii="Calibri" w:hAnsi="Calibri" w:cs="Calibri"/>
        </w:rPr>
        <w:t xml:space="preserve">This </w:t>
      </w:r>
      <w:r w:rsidR="00B90B1F">
        <w:rPr>
          <w:rFonts w:ascii="Calibri" w:hAnsi="Calibri" w:cs="Calibri"/>
        </w:rPr>
        <w:t xml:space="preserve">part of the report relates </w:t>
      </w:r>
      <w:r w:rsidRPr="00461964">
        <w:rPr>
          <w:rFonts w:ascii="Calibri" w:hAnsi="Calibri" w:cs="Calibri"/>
        </w:rPr>
        <w:t xml:space="preserve">to the application of current scientific knowledge and </w:t>
      </w:r>
      <w:r w:rsidR="00B90B1F">
        <w:rPr>
          <w:rFonts w:ascii="Calibri" w:hAnsi="Calibri" w:cs="Calibri"/>
        </w:rPr>
        <w:t xml:space="preserve">considers whether </w:t>
      </w:r>
      <w:r w:rsidRPr="00461964">
        <w:rPr>
          <w:rFonts w:ascii="Calibri" w:hAnsi="Calibri" w:cs="Calibri"/>
        </w:rPr>
        <w:t xml:space="preserve">the outcome of the risk assessment withstands scrutiny by peers. </w:t>
      </w:r>
    </w:p>
    <w:p w:rsidR="00D176FF" w:rsidRDefault="00DA23F7" w:rsidP="00201CE8">
      <w:pPr>
        <w:spacing w:before="100" w:beforeAutospacing="1" w:after="100" w:afterAutospacing="1" w:line="276" w:lineRule="auto"/>
        <w:rPr>
          <w:rFonts w:ascii="Calibri" w:hAnsi="Calibri" w:cs="Calibri"/>
        </w:rPr>
      </w:pPr>
      <w:r w:rsidRPr="00461964">
        <w:rPr>
          <w:rFonts w:ascii="Calibri" w:hAnsi="Calibri" w:cs="Calibri"/>
        </w:rPr>
        <w:t xml:space="preserve">FSANZ risk assessment process follows internationally agreed principles and processes for risk assessment, incorporating current scientific knowledge to the extent possible in the regulatory risk assessment process. </w:t>
      </w:r>
    </w:p>
    <w:p w:rsidR="00DA23F7" w:rsidRPr="00461964" w:rsidRDefault="00C06853" w:rsidP="00201CE8">
      <w:pPr>
        <w:spacing w:before="100" w:beforeAutospacing="1" w:after="100" w:afterAutospacing="1" w:line="276" w:lineRule="auto"/>
        <w:rPr>
          <w:rFonts w:ascii="Calibri" w:hAnsi="Calibri" w:cs="Calibri"/>
        </w:rPr>
      </w:pPr>
      <w:r>
        <w:rPr>
          <w:rFonts w:ascii="Calibri" w:hAnsi="Calibri" w:cs="Calibri"/>
        </w:rPr>
        <w:t>Act</w:t>
      </w:r>
      <w:r w:rsidR="00DA23F7" w:rsidRPr="00461964">
        <w:rPr>
          <w:rFonts w:ascii="Calibri" w:hAnsi="Calibri" w:cs="Calibri"/>
        </w:rPr>
        <w:t xml:space="preserve">ive participation in international risk assessment activities, including the update and improvements </w:t>
      </w:r>
      <w:r w:rsidR="001D3BBD" w:rsidRPr="00461964">
        <w:rPr>
          <w:rFonts w:ascii="Calibri" w:hAnsi="Calibri" w:cs="Calibri"/>
        </w:rPr>
        <w:t>of principles and processes, is</w:t>
      </w:r>
      <w:r w:rsidR="00DA23F7" w:rsidRPr="00461964">
        <w:rPr>
          <w:rFonts w:ascii="Calibri" w:hAnsi="Calibri" w:cs="Calibri"/>
        </w:rPr>
        <w:t xml:space="preserve"> an important aspect for FSANZ risk assessment work. In several areas, </w:t>
      </w:r>
      <w:r w:rsidR="00DA23F7" w:rsidRPr="00461964">
        <w:rPr>
          <w:rFonts w:ascii="Calibri" w:hAnsi="Calibri" w:cs="Calibri"/>
        </w:rPr>
        <w:lastRenderedPageBreak/>
        <w:t>e.g. dietary exposure assessment modelling, FSANZ is leading new developments</w:t>
      </w:r>
      <w:r w:rsidR="00B1251A" w:rsidRPr="00461964">
        <w:rPr>
          <w:rFonts w:ascii="Calibri" w:hAnsi="Calibri" w:cs="Calibri"/>
        </w:rPr>
        <w:t xml:space="preserve"> and providing important inpu</w:t>
      </w:r>
      <w:r w:rsidR="008E2D93" w:rsidRPr="00461964">
        <w:rPr>
          <w:rFonts w:ascii="Calibri" w:hAnsi="Calibri" w:cs="Calibri"/>
        </w:rPr>
        <w:t>t in international developments</w:t>
      </w:r>
      <w:r w:rsidR="00DA23F7" w:rsidRPr="00461964">
        <w:rPr>
          <w:rFonts w:ascii="Calibri" w:hAnsi="Calibri" w:cs="Calibri"/>
        </w:rPr>
        <w:t xml:space="preserve">. </w:t>
      </w:r>
    </w:p>
    <w:p w:rsidR="002D6604" w:rsidRPr="00461964" w:rsidRDefault="00DA23F7" w:rsidP="00201CE8">
      <w:pPr>
        <w:spacing w:before="100" w:beforeAutospacing="1" w:after="100" w:afterAutospacing="1" w:line="276" w:lineRule="auto"/>
        <w:rPr>
          <w:rFonts w:ascii="Calibri" w:hAnsi="Calibri" w:cs="Calibri"/>
        </w:rPr>
      </w:pPr>
      <w:r w:rsidRPr="00B90B1F">
        <w:rPr>
          <w:rFonts w:ascii="Calibri" w:hAnsi="Calibri" w:cs="Calibri"/>
        </w:rPr>
        <w:t xml:space="preserve">The clarity of the risk assessment output and accessibility of underlying data </w:t>
      </w:r>
      <w:r w:rsidR="008E2D93" w:rsidRPr="00B90B1F">
        <w:rPr>
          <w:rFonts w:ascii="Calibri" w:hAnsi="Calibri" w:cs="Calibri"/>
        </w:rPr>
        <w:t>is critical to allow</w:t>
      </w:r>
      <w:r w:rsidR="008E2D93" w:rsidRPr="00461964">
        <w:rPr>
          <w:rFonts w:ascii="Calibri" w:hAnsi="Calibri" w:cs="Calibri"/>
        </w:rPr>
        <w:t xml:space="preserve"> scrutiny of the outcome</w:t>
      </w:r>
      <w:r w:rsidR="004B76C3" w:rsidRPr="00461964">
        <w:rPr>
          <w:rFonts w:ascii="Calibri" w:hAnsi="Calibri" w:cs="Calibri"/>
        </w:rPr>
        <w:t>. Possible improvements to the risk assessment repo</w:t>
      </w:r>
      <w:r w:rsidR="001D3BBD" w:rsidRPr="00461964">
        <w:rPr>
          <w:rFonts w:ascii="Calibri" w:hAnsi="Calibri" w:cs="Calibri"/>
        </w:rPr>
        <w:t>rts are described in section 6.2</w:t>
      </w:r>
      <w:r w:rsidR="004B76C3" w:rsidRPr="00461964">
        <w:rPr>
          <w:rFonts w:ascii="Calibri" w:hAnsi="Calibri" w:cs="Calibri"/>
        </w:rPr>
        <w:t>.</w:t>
      </w:r>
      <w:r w:rsidR="0087151D" w:rsidRPr="00461964">
        <w:rPr>
          <w:rFonts w:ascii="Calibri" w:hAnsi="Calibri" w:cs="Calibri"/>
        </w:rPr>
        <w:t xml:space="preserve">, which will also allow better </w:t>
      </w:r>
      <w:r w:rsidR="001D3BBD" w:rsidRPr="00461964">
        <w:rPr>
          <w:rFonts w:ascii="Calibri" w:hAnsi="Calibri" w:cs="Calibri"/>
        </w:rPr>
        <w:t>demonstration</w:t>
      </w:r>
      <w:r w:rsidR="0087151D" w:rsidRPr="00461964">
        <w:rPr>
          <w:rFonts w:ascii="Calibri" w:hAnsi="Calibri" w:cs="Calibri"/>
        </w:rPr>
        <w:t xml:space="preserve"> of the application of sound scientific risk assessment principles. </w:t>
      </w:r>
    </w:p>
    <w:p w:rsidR="00645495" w:rsidRDefault="002D6604" w:rsidP="008A3A42">
      <w:pPr>
        <w:pStyle w:val="Heading2"/>
      </w:pPr>
      <w:bookmarkStart w:id="85" w:name="_Toc322935542"/>
      <w:bookmarkStart w:id="86" w:name="_Toc332960024"/>
      <w:r w:rsidRPr="00FC2640">
        <w:t>6.6. Inclusiveness</w:t>
      </w:r>
      <w:bookmarkEnd w:id="85"/>
      <w:bookmarkEnd w:id="86"/>
    </w:p>
    <w:p w:rsidR="002F2A97" w:rsidRPr="00461964" w:rsidRDefault="00645495" w:rsidP="00201CE8">
      <w:pPr>
        <w:spacing w:before="100" w:beforeAutospacing="1" w:after="100" w:afterAutospacing="1" w:line="276" w:lineRule="auto"/>
        <w:rPr>
          <w:rFonts w:ascii="Calibri" w:hAnsi="Calibri" w:cs="Calibri"/>
        </w:rPr>
      </w:pPr>
      <w:r w:rsidRPr="00461964">
        <w:rPr>
          <w:rFonts w:ascii="Calibri" w:hAnsi="Calibri" w:cs="Calibri"/>
        </w:rPr>
        <w:t xml:space="preserve">This relates to </w:t>
      </w:r>
      <w:r w:rsidR="005C3F18">
        <w:rPr>
          <w:rFonts w:ascii="Calibri" w:hAnsi="Calibri" w:cs="Calibri"/>
        </w:rPr>
        <w:t xml:space="preserve">whether </w:t>
      </w:r>
      <w:r w:rsidRPr="00461964">
        <w:rPr>
          <w:rFonts w:ascii="Calibri" w:hAnsi="Calibri" w:cs="Calibri"/>
        </w:rPr>
        <w:t xml:space="preserve">all relevant </w:t>
      </w:r>
      <w:r w:rsidR="002D6604" w:rsidRPr="00461964">
        <w:rPr>
          <w:rFonts w:ascii="Calibri" w:hAnsi="Calibri" w:cs="Calibri"/>
        </w:rPr>
        <w:t xml:space="preserve">aspects </w:t>
      </w:r>
      <w:r w:rsidRPr="00461964">
        <w:rPr>
          <w:rFonts w:ascii="Calibri" w:hAnsi="Calibri" w:cs="Calibri"/>
        </w:rPr>
        <w:t>are considered and appropriately addressed</w:t>
      </w:r>
      <w:r w:rsidR="00FB5E0F" w:rsidRPr="00461964">
        <w:rPr>
          <w:rFonts w:ascii="Calibri" w:hAnsi="Calibri" w:cs="Calibri"/>
        </w:rPr>
        <w:t>, and that stakeholder views are considered in the process</w:t>
      </w:r>
      <w:r w:rsidRPr="00461964">
        <w:rPr>
          <w:rFonts w:ascii="Calibri" w:hAnsi="Calibri" w:cs="Calibri"/>
        </w:rPr>
        <w:t>.</w:t>
      </w:r>
      <w:r w:rsidR="002D6604" w:rsidRPr="00461964">
        <w:rPr>
          <w:rFonts w:ascii="Calibri" w:hAnsi="Calibri" w:cs="Calibri"/>
        </w:rPr>
        <w:t xml:space="preserve"> </w:t>
      </w:r>
    </w:p>
    <w:p w:rsidR="002F2A97" w:rsidRPr="00461964" w:rsidRDefault="005C3F18" w:rsidP="00201CE8">
      <w:pPr>
        <w:spacing w:before="100" w:beforeAutospacing="1" w:after="100" w:afterAutospacing="1" w:line="276" w:lineRule="auto"/>
        <w:rPr>
          <w:rFonts w:ascii="Calibri" w:hAnsi="Calibri" w:cs="Calibri"/>
        </w:rPr>
      </w:pPr>
      <w:r>
        <w:rPr>
          <w:rFonts w:ascii="Calibri" w:hAnsi="Calibri" w:cs="Calibri"/>
        </w:rPr>
        <w:t>In FSANZ, t</w:t>
      </w:r>
      <w:r w:rsidR="00655CC7" w:rsidRPr="00461964">
        <w:rPr>
          <w:rFonts w:ascii="Calibri" w:hAnsi="Calibri" w:cs="Calibri"/>
        </w:rPr>
        <w:t xml:space="preserve">his is </w:t>
      </w:r>
      <w:r w:rsidR="00564886" w:rsidRPr="00461964">
        <w:rPr>
          <w:rFonts w:ascii="Calibri" w:hAnsi="Calibri" w:cs="Calibri"/>
        </w:rPr>
        <w:t>facilitated</w:t>
      </w:r>
      <w:r w:rsidR="00655CC7" w:rsidRPr="00461964">
        <w:rPr>
          <w:rFonts w:ascii="Calibri" w:hAnsi="Calibri" w:cs="Calibri"/>
        </w:rPr>
        <w:t xml:space="preserve"> through </w:t>
      </w:r>
      <w:r>
        <w:rPr>
          <w:rFonts w:ascii="Calibri" w:hAnsi="Calibri" w:cs="Calibri"/>
        </w:rPr>
        <w:t xml:space="preserve">a defined </w:t>
      </w:r>
      <w:r w:rsidR="00655CC7" w:rsidRPr="00461964">
        <w:rPr>
          <w:rFonts w:ascii="Calibri" w:hAnsi="Calibri" w:cs="Calibri"/>
        </w:rPr>
        <w:t>process, in that a risk assessment plan has to be established</w:t>
      </w:r>
      <w:r>
        <w:rPr>
          <w:rFonts w:ascii="Calibri" w:hAnsi="Calibri" w:cs="Calibri"/>
        </w:rPr>
        <w:t>. R</w:t>
      </w:r>
      <w:r w:rsidR="00655CC7" w:rsidRPr="00461964">
        <w:rPr>
          <w:rFonts w:ascii="Calibri" w:hAnsi="Calibri" w:cs="Calibri"/>
        </w:rPr>
        <w:t xml:space="preserve">isk assessment teams are </w:t>
      </w:r>
      <w:r>
        <w:rPr>
          <w:rFonts w:ascii="Calibri" w:hAnsi="Calibri" w:cs="Calibri"/>
        </w:rPr>
        <w:t xml:space="preserve">also </w:t>
      </w:r>
      <w:r w:rsidR="00655CC7" w:rsidRPr="00461964">
        <w:rPr>
          <w:rFonts w:ascii="Calibri" w:hAnsi="Calibri" w:cs="Calibri"/>
        </w:rPr>
        <w:t xml:space="preserve">established, </w:t>
      </w:r>
      <w:r w:rsidR="00564886" w:rsidRPr="00461964">
        <w:rPr>
          <w:rFonts w:ascii="Calibri" w:hAnsi="Calibri" w:cs="Calibri"/>
        </w:rPr>
        <w:t xml:space="preserve">to identify all </w:t>
      </w:r>
      <w:r>
        <w:rPr>
          <w:rFonts w:ascii="Calibri" w:hAnsi="Calibri" w:cs="Calibri"/>
        </w:rPr>
        <w:t xml:space="preserve">required </w:t>
      </w:r>
      <w:r w:rsidR="00564886" w:rsidRPr="00461964">
        <w:rPr>
          <w:rFonts w:ascii="Calibri" w:hAnsi="Calibri" w:cs="Calibri"/>
        </w:rPr>
        <w:t>aspects</w:t>
      </w:r>
      <w:r w:rsidR="00655CC7" w:rsidRPr="00461964">
        <w:rPr>
          <w:rFonts w:ascii="Calibri" w:hAnsi="Calibri" w:cs="Calibri"/>
        </w:rPr>
        <w:t xml:space="preserve">, and a regular review of needs and risks </w:t>
      </w:r>
      <w:r>
        <w:rPr>
          <w:rFonts w:ascii="Calibri" w:hAnsi="Calibri" w:cs="Calibri"/>
        </w:rPr>
        <w:t xml:space="preserve">is </w:t>
      </w:r>
      <w:r w:rsidR="00564886" w:rsidRPr="00461964">
        <w:rPr>
          <w:rFonts w:ascii="Calibri" w:hAnsi="Calibri" w:cs="Calibri"/>
        </w:rPr>
        <w:t xml:space="preserve">undertaken </w:t>
      </w:r>
      <w:r w:rsidR="00655CC7" w:rsidRPr="00461964">
        <w:rPr>
          <w:rFonts w:ascii="Calibri" w:hAnsi="Calibri" w:cs="Calibri"/>
        </w:rPr>
        <w:t xml:space="preserve">by the team. Care has to be taken that this process is applied as appropriate and does not lead to an overly administrative (rather than scientific) process. </w:t>
      </w:r>
      <w:r w:rsidR="00A50AD6" w:rsidRPr="00461964">
        <w:rPr>
          <w:rFonts w:ascii="Calibri" w:hAnsi="Calibri" w:cs="Calibri"/>
        </w:rPr>
        <w:t>The overall process has to</w:t>
      </w:r>
      <w:r w:rsidR="00564886" w:rsidRPr="00461964">
        <w:rPr>
          <w:rFonts w:ascii="Calibri" w:hAnsi="Calibri" w:cs="Calibri"/>
        </w:rPr>
        <w:t xml:space="preserve"> be adapted to the actual question, and risk assessment efforts should be proportional to the public health risk (to the extent possible). This, however, is a particular challenge, and targeting the risk assessment effort to be ‘fit-for-purpose’ </w:t>
      </w:r>
      <w:r w:rsidR="001E348B" w:rsidRPr="00461964">
        <w:rPr>
          <w:rFonts w:ascii="Calibri" w:hAnsi="Calibri" w:cs="Calibri"/>
        </w:rPr>
        <w:t>requires a clear rational</w:t>
      </w:r>
      <w:r w:rsidR="00344F67">
        <w:rPr>
          <w:rFonts w:ascii="Calibri" w:hAnsi="Calibri" w:cs="Calibri"/>
        </w:rPr>
        <w:t>e</w:t>
      </w:r>
      <w:r w:rsidR="001E348B" w:rsidRPr="00461964">
        <w:rPr>
          <w:rFonts w:ascii="Calibri" w:hAnsi="Calibri" w:cs="Calibri"/>
        </w:rPr>
        <w:t xml:space="preserve">, </w:t>
      </w:r>
      <w:r w:rsidR="00344F67">
        <w:rPr>
          <w:rFonts w:ascii="Calibri" w:hAnsi="Calibri" w:cs="Calibri"/>
        </w:rPr>
        <w:t xml:space="preserve">and </w:t>
      </w:r>
      <w:r w:rsidR="001E348B" w:rsidRPr="00461964">
        <w:rPr>
          <w:rFonts w:ascii="Calibri" w:hAnsi="Calibri" w:cs="Calibri"/>
        </w:rPr>
        <w:t xml:space="preserve">clear definition of the scope and interaction between risk assessor and risk manager. </w:t>
      </w:r>
    </w:p>
    <w:p w:rsidR="00C66309" w:rsidRPr="00461964" w:rsidRDefault="00FB5E0F" w:rsidP="00201CE8">
      <w:pPr>
        <w:spacing w:before="100" w:beforeAutospacing="1" w:after="100" w:afterAutospacing="1" w:line="276" w:lineRule="auto"/>
        <w:rPr>
          <w:rFonts w:ascii="Calibri" w:hAnsi="Calibri" w:cs="Calibri"/>
        </w:rPr>
      </w:pPr>
      <w:r w:rsidRPr="00461964">
        <w:rPr>
          <w:rFonts w:ascii="Calibri" w:hAnsi="Calibri" w:cs="Calibri"/>
        </w:rPr>
        <w:t xml:space="preserve">The process of public review and comment period allows for stakeholder input, which </w:t>
      </w:r>
      <w:r w:rsidR="00E03E1C" w:rsidRPr="00461964">
        <w:rPr>
          <w:rFonts w:ascii="Calibri" w:hAnsi="Calibri" w:cs="Calibri"/>
        </w:rPr>
        <w:t>i</w:t>
      </w:r>
      <w:r w:rsidRPr="00461964">
        <w:rPr>
          <w:rFonts w:ascii="Calibri" w:hAnsi="Calibri" w:cs="Calibri"/>
        </w:rPr>
        <w:t xml:space="preserve">s </w:t>
      </w:r>
      <w:r w:rsidR="00E03E1C" w:rsidRPr="00461964">
        <w:rPr>
          <w:rFonts w:ascii="Calibri" w:hAnsi="Calibri" w:cs="Calibri"/>
        </w:rPr>
        <w:t>an important</w:t>
      </w:r>
      <w:r w:rsidRPr="00461964">
        <w:rPr>
          <w:rFonts w:ascii="Calibri" w:hAnsi="Calibri" w:cs="Calibri"/>
        </w:rPr>
        <w:t xml:space="preserve"> element</w:t>
      </w:r>
      <w:r w:rsidR="00E03E1C" w:rsidRPr="00461964">
        <w:rPr>
          <w:rFonts w:ascii="Calibri" w:hAnsi="Calibri" w:cs="Calibri"/>
        </w:rPr>
        <w:t xml:space="preserve"> of inclusiveness</w:t>
      </w:r>
      <w:r w:rsidRPr="00461964">
        <w:rPr>
          <w:rFonts w:ascii="Calibri" w:hAnsi="Calibri" w:cs="Calibri"/>
        </w:rPr>
        <w:t xml:space="preserve">. </w:t>
      </w:r>
      <w:r w:rsidR="005C3F18">
        <w:rPr>
          <w:rFonts w:ascii="Calibri" w:hAnsi="Calibri" w:cs="Calibri"/>
        </w:rPr>
        <w:t xml:space="preserve">Including </w:t>
      </w:r>
      <w:r w:rsidR="00CC01E4">
        <w:rPr>
          <w:rFonts w:ascii="Calibri" w:hAnsi="Calibri" w:cs="Calibri"/>
        </w:rPr>
        <w:t xml:space="preserve">stakeholder </w:t>
      </w:r>
      <w:r w:rsidR="002312F3">
        <w:rPr>
          <w:rFonts w:ascii="Calibri" w:hAnsi="Calibri" w:cs="Calibri"/>
        </w:rPr>
        <w:t>views</w:t>
      </w:r>
      <w:r w:rsidR="008F2F9A">
        <w:rPr>
          <w:rFonts w:ascii="Calibri" w:hAnsi="Calibri" w:cs="Calibri"/>
        </w:rPr>
        <w:t xml:space="preserve"> </w:t>
      </w:r>
      <w:r w:rsidR="00C66309" w:rsidRPr="00461964">
        <w:rPr>
          <w:rFonts w:ascii="Calibri" w:hAnsi="Calibri" w:cs="Calibri"/>
        </w:rPr>
        <w:t xml:space="preserve">in the process as appropriate </w:t>
      </w:r>
      <w:r w:rsidR="00E03E1C" w:rsidRPr="00461964">
        <w:rPr>
          <w:rFonts w:ascii="Calibri" w:hAnsi="Calibri" w:cs="Calibri"/>
        </w:rPr>
        <w:t>to contribute to the de</w:t>
      </w:r>
      <w:r w:rsidR="005C3F18">
        <w:rPr>
          <w:rFonts w:ascii="Calibri" w:hAnsi="Calibri" w:cs="Calibri"/>
        </w:rPr>
        <w:t xml:space="preserve">velopment </w:t>
      </w:r>
      <w:r w:rsidR="00E03E1C" w:rsidRPr="00461964">
        <w:rPr>
          <w:rFonts w:ascii="Calibri" w:hAnsi="Calibri" w:cs="Calibri"/>
        </w:rPr>
        <w:t>of risk management options</w:t>
      </w:r>
      <w:r w:rsidR="002312F3">
        <w:rPr>
          <w:rFonts w:ascii="Calibri" w:hAnsi="Calibri" w:cs="Calibri"/>
        </w:rPr>
        <w:t>,</w:t>
      </w:r>
      <w:r w:rsidR="00E03E1C" w:rsidRPr="00461964">
        <w:rPr>
          <w:rFonts w:ascii="Calibri" w:hAnsi="Calibri" w:cs="Calibri"/>
        </w:rPr>
        <w:t xml:space="preserve"> is a positive element</w:t>
      </w:r>
      <w:r w:rsidR="00C66309" w:rsidRPr="00461964">
        <w:rPr>
          <w:rFonts w:ascii="Calibri" w:hAnsi="Calibri" w:cs="Calibri"/>
        </w:rPr>
        <w:t xml:space="preserve">. </w:t>
      </w:r>
    </w:p>
    <w:p w:rsidR="002D6604" w:rsidRPr="006966B6" w:rsidRDefault="002D6604" w:rsidP="008A3A42">
      <w:pPr>
        <w:pStyle w:val="Heading2"/>
      </w:pPr>
      <w:bookmarkStart w:id="87" w:name="_Toc322935544"/>
      <w:bookmarkStart w:id="88" w:name="_Toc332960025"/>
      <w:r w:rsidRPr="006966B6">
        <w:t>6.7. Internal review and approval process</w:t>
      </w:r>
      <w:bookmarkEnd w:id="87"/>
      <w:bookmarkEnd w:id="88"/>
    </w:p>
    <w:p w:rsidR="00432068" w:rsidRPr="00201CE8" w:rsidRDefault="00432068" w:rsidP="00201CE8">
      <w:pPr>
        <w:spacing w:line="240" w:lineRule="auto"/>
        <w:rPr>
          <w:rFonts w:ascii="Calibri" w:hAnsi="Calibri" w:cs="Calibri"/>
        </w:rPr>
      </w:pPr>
      <w:r w:rsidRPr="00201CE8">
        <w:rPr>
          <w:rFonts w:ascii="Calibri" w:hAnsi="Calibri" w:cs="Calibri"/>
        </w:rPr>
        <w:t>Draft risk assessments are first discussed in the project team, and once agreed have to be approved by the direct line manager, followed by the executive sponsor, the Chief Scientist and the relevant direct line general manager. Final internal approval is then with the FSANZ board. Although the main role of the board in this is to ensure adherence to government policies and regulations and to make decisions about varying the Code</w:t>
      </w:r>
      <w:r w:rsidR="005C3F18" w:rsidRPr="00201CE8">
        <w:rPr>
          <w:rFonts w:ascii="Calibri" w:hAnsi="Calibri" w:cs="Calibri"/>
        </w:rPr>
        <w:t>,</w:t>
      </w:r>
      <w:r w:rsidRPr="00201CE8">
        <w:rPr>
          <w:rFonts w:ascii="Calibri" w:hAnsi="Calibri" w:cs="Calibri"/>
        </w:rPr>
        <w:t xml:space="preserve"> they are often interested in the scientific reasoning behind risk assessment conclusions. They frequently offer helpful suggestions to improve the risk communication of decisions.</w:t>
      </w:r>
      <w:r w:rsidRPr="00461964">
        <w:rPr>
          <w:rFonts w:ascii="Calibri" w:hAnsi="Calibri" w:cs="Calibri"/>
        </w:rPr>
        <w:t xml:space="preserve"> </w:t>
      </w:r>
      <w:r w:rsidRPr="00201CE8">
        <w:rPr>
          <w:rFonts w:ascii="Calibri" w:hAnsi="Calibri" w:cs="Calibri"/>
        </w:rPr>
        <w:t xml:space="preserve"> </w:t>
      </w:r>
    </w:p>
    <w:p w:rsidR="002D6604" w:rsidRDefault="002D6604" w:rsidP="008A3A42">
      <w:pPr>
        <w:pStyle w:val="Heading2"/>
      </w:pPr>
      <w:bookmarkStart w:id="89" w:name="_Toc322935545"/>
      <w:bookmarkStart w:id="90" w:name="_Toc332960026"/>
      <w:r w:rsidRPr="000E261B">
        <w:t>6.8. External peer-review process</w:t>
      </w:r>
      <w:bookmarkEnd w:id="89"/>
      <w:bookmarkEnd w:id="90"/>
    </w:p>
    <w:p w:rsidR="00201AB3" w:rsidRPr="00461964" w:rsidRDefault="007D652B" w:rsidP="00201CE8">
      <w:pPr>
        <w:spacing w:before="100" w:beforeAutospacing="1" w:after="100" w:afterAutospacing="1" w:line="276" w:lineRule="auto"/>
        <w:rPr>
          <w:rFonts w:ascii="Calibri" w:hAnsi="Calibri" w:cs="Calibri"/>
        </w:rPr>
      </w:pPr>
      <w:r w:rsidRPr="00461964">
        <w:rPr>
          <w:rFonts w:ascii="Calibri" w:hAnsi="Calibri" w:cs="Calibri"/>
        </w:rPr>
        <w:t>External peer-review</w:t>
      </w:r>
      <w:r w:rsidR="000A15A6" w:rsidRPr="00461964">
        <w:rPr>
          <w:rFonts w:ascii="Calibri" w:hAnsi="Calibri" w:cs="Calibri"/>
        </w:rPr>
        <w:t xml:space="preserve">s of draft risk assessments are undertaken on an </w:t>
      </w:r>
      <w:r w:rsidR="000A15A6" w:rsidRPr="00201CE8">
        <w:rPr>
          <w:rFonts w:ascii="Calibri" w:hAnsi="Calibri" w:cs="Calibri"/>
        </w:rPr>
        <w:t>ad hoc</w:t>
      </w:r>
      <w:r w:rsidR="000A15A6" w:rsidRPr="00461964">
        <w:rPr>
          <w:rFonts w:ascii="Calibri" w:hAnsi="Calibri" w:cs="Calibri"/>
        </w:rPr>
        <w:t xml:space="preserve"> basis. </w:t>
      </w:r>
      <w:r w:rsidR="00344F67">
        <w:rPr>
          <w:rFonts w:ascii="Calibri" w:hAnsi="Calibri" w:cs="Calibri"/>
        </w:rPr>
        <w:t>A d</w:t>
      </w:r>
      <w:r w:rsidR="001F2EAE">
        <w:rPr>
          <w:rFonts w:ascii="Calibri" w:hAnsi="Calibri" w:cs="Calibri"/>
        </w:rPr>
        <w:t>ecision</w:t>
      </w:r>
      <w:r w:rsidR="00AB55E6" w:rsidRPr="00461964">
        <w:rPr>
          <w:rFonts w:ascii="Calibri" w:hAnsi="Calibri" w:cs="Calibri"/>
        </w:rPr>
        <w:t xml:space="preserve"> </w:t>
      </w:r>
      <w:r w:rsidR="00344F67">
        <w:rPr>
          <w:rFonts w:ascii="Calibri" w:hAnsi="Calibri" w:cs="Calibri"/>
        </w:rPr>
        <w:t xml:space="preserve">on </w:t>
      </w:r>
      <w:r w:rsidR="00AB55E6" w:rsidRPr="00461964">
        <w:rPr>
          <w:rFonts w:ascii="Calibri" w:hAnsi="Calibri" w:cs="Calibri"/>
        </w:rPr>
        <w:t xml:space="preserve">the need for a peer review is </w:t>
      </w:r>
      <w:r w:rsidR="00344F67">
        <w:rPr>
          <w:rFonts w:ascii="Calibri" w:hAnsi="Calibri" w:cs="Calibri"/>
        </w:rPr>
        <w:t>made</w:t>
      </w:r>
      <w:r w:rsidR="00AB55E6" w:rsidRPr="00461964">
        <w:rPr>
          <w:rFonts w:ascii="Calibri" w:hAnsi="Calibri" w:cs="Calibri"/>
        </w:rPr>
        <w:t xml:space="preserve"> by senior management. </w:t>
      </w:r>
      <w:r w:rsidR="00201AB3" w:rsidRPr="00461964">
        <w:rPr>
          <w:rFonts w:ascii="Calibri" w:hAnsi="Calibri" w:cs="Calibri"/>
        </w:rPr>
        <w:t xml:space="preserve">Reviews are undertaken by external experts </w:t>
      </w:r>
      <w:r w:rsidR="00D51649">
        <w:rPr>
          <w:rFonts w:ascii="Calibri" w:hAnsi="Calibri" w:cs="Calibri"/>
        </w:rPr>
        <w:t>who may be</w:t>
      </w:r>
      <w:r w:rsidR="00EF0024">
        <w:rPr>
          <w:rFonts w:ascii="Calibri" w:hAnsi="Calibri" w:cs="Calibri"/>
        </w:rPr>
        <w:t xml:space="preserve"> a </w:t>
      </w:r>
      <w:r w:rsidR="00201AB3" w:rsidRPr="00461964">
        <w:rPr>
          <w:rFonts w:ascii="Calibri" w:hAnsi="Calibri" w:cs="Calibri"/>
        </w:rPr>
        <w:t>FSANZ Fellow</w:t>
      </w:r>
      <w:r w:rsidR="00E95B7B">
        <w:rPr>
          <w:rFonts w:ascii="Calibri" w:hAnsi="Calibri" w:cs="Calibri"/>
        </w:rPr>
        <w:t>s</w:t>
      </w:r>
      <w:r w:rsidR="00201AB3" w:rsidRPr="00461964">
        <w:rPr>
          <w:rFonts w:ascii="Calibri" w:hAnsi="Calibri" w:cs="Calibri"/>
        </w:rPr>
        <w:t>. The FSANZ Fellow</w:t>
      </w:r>
      <w:r w:rsidR="00E95B7B">
        <w:rPr>
          <w:rFonts w:ascii="Calibri" w:hAnsi="Calibri" w:cs="Calibri"/>
        </w:rPr>
        <w:t>s</w:t>
      </w:r>
      <w:r w:rsidR="00201AB3" w:rsidRPr="00461964">
        <w:rPr>
          <w:rFonts w:ascii="Calibri" w:hAnsi="Calibri" w:cs="Calibri"/>
        </w:rPr>
        <w:t xml:space="preserve"> program </w:t>
      </w:r>
      <w:r w:rsidR="00CE793D" w:rsidRPr="00461964">
        <w:rPr>
          <w:rFonts w:ascii="Calibri" w:hAnsi="Calibri" w:cs="Calibri"/>
        </w:rPr>
        <w:t>is</w:t>
      </w:r>
      <w:r w:rsidR="00201AB3" w:rsidRPr="00461964">
        <w:rPr>
          <w:rFonts w:ascii="Calibri" w:hAnsi="Calibri" w:cs="Calibri"/>
        </w:rPr>
        <w:t xml:space="preserve"> a network of experts who can provide FSANZ with objective expert advice and critical review. </w:t>
      </w:r>
    </w:p>
    <w:p w:rsidR="00735CA9" w:rsidRDefault="00F02260" w:rsidP="00201CE8">
      <w:pPr>
        <w:spacing w:before="100" w:beforeAutospacing="1" w:after="100" w:afterAutospacing="1" w:line="276" w:lineRule="auto"/>
        <w:rPr>
          <w:rFonts w:ascii="Calibri" w:hAnsi="Calibri" w:cs="Calibri"/>
        </w:rPr>
      </w:pPr>
      <w:r w:rsidRPr="00461964">
        <w:rPr>
          <w:rFonts w:ascii="Calibri" w:hAnsi="Calibri" w:cs="Calibri"/>
        </w:rPr>
        <w:t xml:space="preserve">Independent peer-review is an important tool to </w:t>
      </w:r>
      <w:r w:rsidR="00344F67">
        <w:rPr>
          <w:rFonts w:ascii="Calibri" w:hAnsi="Calibri" w:cs="Calibri"/>
        </w:rPr>
        <w:t>en</w:t>
      </w:r>
      <w:r w:rsidRPr="00461964">
        <w:rPr>
          <w:rFonts w:ascii="Calibri" w:hAnsi="Calibri" w:cs="Calibri"/>
        </w:rPr>
        <w:t xml:space="preserve">sure the soundness and appropriateness of the risk assessment. There are different options, either by a standing review body or on an </w:t>
      </w:r>
      <w:r w:rsidRPr="00201CE8">
        <w:rPr>
          <w:rFonts w:ascii="Calibri" w:hAnsi="Calibri" w:cs="Calibri"/>
        </w:rPr>
        <w:t>ad hoc</w:t>
      </w:r>
      <w:r w:rsidRPr="00461964">
        <w:rPr>
          <w:rFonts w:ascii="Calibri" w:hAnsi="Calibri" w:cs="Calibri"/>
        </w:rPr>
        <w:t xml:space="preserve"> basis. Both </w:t>
      </w:r>
      <w:r w:rsidRPr="00461964">
        <w:rPr>
          <w:rFonts w:ascii="Calibri" w:hAnsi="Calibri" w:cs="Calibri"/>
        </w:rPr>
        <w:lastRenderedPageBreak/>
        <w:t xml:space="preserve">options are valid and there are pros and cons for each, depending on the situation and intent for the review. </w:t>
      </w:r>
    </w:p>
    <w:p w:rsidR="00735CA9" w:rsidRDefault="001C453E" w:rsidP="00201CE8">
      <w:pPr>
        <w:spacing w:line="240" w:lineRule="auto"/>
        <w:rPr>
          <w:rFonts w:ascii="Calibri" w:hAnsi="Calibri" w:cs="Calibri"/>
          <w:highlight w:val="magenta"/>
        </w:rPr>
      </w:pPr>
      <w:r w:rsidRPr="00461964">
        <w:rPr>
          <w:rFonts w:ascii="Calibri" w:hAnsi="Calibri" w:cs="Calibri"/>
        </w:rPr>
        <w:t>There is a need to define a clear process for rational</w:t>
      </w:r>
      <w:r>
        <w:rPr>
          <w:rFonts w:ascii="Calibri" w:hAnsi="Calibri" w:cs="Calibri"/>
        </w:rPr>
        <w:t>e</w:t>
      </w:r>
      <w:r w:rsidRPr="00461964">
        <w:rPr>
          <w:rFonts w:ascii="Calibri" w:hAnsi="Calibri" w:cs="Calibri"/>
        </w:rPr>
        <w:t xml:space="preserve">, when and why a peer-review is to be undertaken, as well as a process for selection of reviewers. This needs to include a process for the declaration of interests, evaluation of declared interests and handling of potential conflicts of interests. </w:t>
      </w:r>
    </w:p>
    <w:p w:rsidR="00735CA9" w:rsidRPr="00735CA9" w:rsidRDefault="00E471E7" w:rsidP="008A3A42">
      <w:pPr>
        <w:pStyle w:val="Heading3"/>
      </w:pPr>
      <w:bookmarkStart w:id="91" w:name="_Toc332960027"/>
      <w:r>
        <w:t xml:space="preserve">6.8.1. </w:t>
      </w:r>
      <w:r w:rsidR="0053336D" w:rsidRPr="00735CA9">
        <w:t>Recommendation</w:t>
      </w:r>
      <w:r w:rsidR="00735CA9" w:rsidRPr="00735CA9">
        <w:t>s regarding external peer reviews</w:t>
      </w:r>
      <w:bookmarkEnd w:id="91"/>
    </w:p>
    <w:p w:rsidR="000A15A6" w:rsidRDefault="0053336D" w:rsidP="00201CE8">
      <w:pPr>
        <w:pStyle w:val="ListParagraph"/>
        <w:numPr>
          <w:ilvl w:val="0"/>
          <w:numId w:val="47"/>
        </w:numPr>
        <w:rPr>
          <w:rFonts w:ascii="Calibri" w:hAnsi="Calibri" w:cs="Calibri"/>
        </w:rPr>
      </w:pPr>
      <w:r w:rsidRPr="00461964">
        <w:rPr>
          <w:rFonts w:ascii="Calibri" w:hAnsi="Calibri" w:cs="Calibri"/>
        </w:rPr>
        <w:t xml:space="preserve">Establish </w:t>
      </w:r>
      <w:r w:rsidR="00344F67">
        <w:rPr>
          <w:rFonts w:ascii="Calibri" w:hAnsi="Calibri" w:cs="Calibri"/>
        </w:rPr>
        <w:t xml:space="preserve">a </w:t>
      </w:r>
      <w:r w:rsidRPr="00461964">
        <w:rPr>
          <w:rFonts w:ascii="Calibri" w:hAnsi="Calibri" w:cs="Calibri"/>
        </w:rPr>
        <w:t>process</w:t>
      </w:r>
      <w:r w:rsidR="00735CA9">
        <w:rPr>
          <w:rFonts w:ascii="Calibri" w:hAnsi="Calibri" w:cs="Calibri"/>
        </w:rPr>
        <w:t xml:space="preserve">, including </w:t>
      </w:r>
      <w:r w:rsidR="00ED7D01" w:rsidRPr="00461964">
        <w:rPr>
          <w:rFonts w:ascii="Calibri" w:hAnsi="Calibri" w:cs="Calibri"/>
        </w:rPr>
        <w:t>rationale</w:t>
      </w:r>
      <w:r w:rsidR="00735CA9">
        <w:rPr>
          <w:rFonts w:ascii="Calibri" w:hAnsi="Calibri" w:cs="Calibri"/>
        </w:rPr>
        <w:t>,</w:t>
      </w:r>
      <w:r w:rsidRPr="00461964">
        <w:rPr>
          <w:rFonts w:ascii="Calibri" w:hAnsi="Calibri" w:cs="Calibri"/>
        </w:rPr>
        <w:t xml:space="preserve"> </w:t>
      </w:r>
      <w:r w:rsidR="00344F67">
        <w:rPr>
          <w:rFonts w:ascii="Calibri" w:hAnsi="Calibri" w:cs="Calibri"/>
        </w:rPr>
        <w:t xml:space="preserve">for </w:t>
      </w:r>
      <w:r w:rsidR="00ED7D01" w:rsidRPr="00461964">
        <w:rPr>
          <w:rFonts w:ascii="Calibri" w:hAnsi="Calibri" w:cs="Calibri"/>
        </w:rPr>
        <w:t xml:space="preserve">when </w:t>
      </w:r>
      <w:r w:rsidR="004B70BC" w:rsidRPr="00461964">
        <w:rPr>
          <w:rFonts w:ascii="Calibri" w:hAnsi="Calibri" w:cs="Calibri"/>
        </w:rPr>
        <w:t xml:space="preserve">and how </w:t>
      </w:r>
      <w:r w:rsidR="000A15A6" w:rsidRPr="00461964">
        <w:rPr>
          <w:rFonts w:ascii="Calibri" w:hAnsi="Calibri" w:cs="Calibri"/>
        </w:rPr>
        <w:t>external reviews</w:t>
      </w:r>
      <w:r w:rsidR="00ED7D01" w:rsidRPr="00461964">
        <w:rPr>
          <w:rFonts w:ascii="Calibri" w:hAnsi="Calibri" w:cs="Calibri"/>
        </w:rPr>
        <w:t xml:space="preserve"> should be undertaken</w:t>
      </w:r>
      <w:r w:rsidR="004B70BC" w:rsidRPr="00461964">
        <w:rPr>
          <w:rFonts w:ascii="Calibri" w:hAnsi="Calibri" w:cs="Calibri"/>
        </w:rPr>
        <w:t>.</w:t>
      </w:r>
    </w:p>
    <w:p w:rsidR="008F3A3B" w:rsidRPr="00461964" w:rsidRDefault="008F3A3B" w:rsidP="00201CE8">
      <w:pPr>
        <w:pStyle w:val="ListParagraph"/>
        <w:ind w:left="709"/>
        <w:rPr>
          <w:rFonts w:ascii="Calibri" w:hAnsi="Calibri" w:cs="Calibri"/>
        </w:rPr>
      </w:pPr>
    </w:p>
    <w:p w:rsidR="0053336D" w:rsidRPr="00461964" w:rsidRDefault="000A15A6" w:rsidP="00201CE8">
      <w:pPr>
        <w:pStyle w:val="ListParagraph"/>
        <w:numPr>
          <w:ilvl w:val="0"/>
          <w:numId w:val="47"/>
        </w:numPr>
        <w:rPr>
          <w:rFonts w:ascii="Calibri" w:hAnsi="Calibri" w:cs="Calibri"/>
        </w:rPr>
      </w:pPr>
      <w:r w:rsidRPr="00461964">
        <w:rPr>
          <w:rFonts w:ascii="Calibri" w:hAnsi="Calibri" w:cs="Calibri"/>
        </w:rPr>
        <w:t xml:space="preserve">Establish </w:t>
      </w:r>
      <w:r w:rsidR="00344F67">
        <w:rPr>
          <w:rFonts w:ascii="Calibri" w:hAnsi="Calibri" w:cs="Calibri"/>
        </w:rPr>
        <w:t xml:space="preserve">a </w:t>
      </w:r>
      <w:r w:rsidRPr="00461964">
        <w:rPr>
          <w:rFonts w:ascii="Calibri" w:hAnsi="Calibri" w:cs="Calibri"/>
        </w:rPr>
        <w:t>D</w:t>
      </w:r>
      <w:r w:rsidR="007F6F44" w:rsidRPr="00461964">
        <w:rPr>
          <w:rFonts w:ascii="Calibri" w:hAnsi="Calibri" w:cs="Calibri"/>
        </w:rPr>
        <w:t xml:space="preserve">eclaration of </w:t>
      </w:r>
      <w:r w:rsidRPr="00461964">
        <w:rPr>
          <w:rFonts w:ascii="Calibri" w:hAnsi="Calibri" w:cs="Calibri"/>
        </w:rPr>
        <w:t>I</w:t>
      </w:r>
      <w:r w:rsidR="007F6F44" w:rsidRPr="00461964">
        <w:rPr>
          <w:rFonts w:ascii="Calibri" w:hAnsi="Calibri" w:cs="Calibri"/>
        </w:rPr>
        <w:t>nterest</w:t>
      </w:r>
      <w:r w:rsidRPr="00461964">
        <w:rPr>
          <w:rFonts w:ascii="Calibri" w:hAnsi="Calibri" w:cs="Calibri"/>
        </w:rPr>
        <w:t xml:space="preserve"> form and evaluation process for reviewers and </w:t>
      </w:r>
      <w:r w:rsidR="0053336D" w:rsidRPr="00461964">
        <w:rPr>
          <w:rFonts w:ascii="Calibri" w:hAnsi="Calibri" w:cs="Calibri"/>
        </w:rPr>
        <w:t>FSANZ fellow</w:t>
      </w:r>
      <w:r w:rsidR="00344F67">
        <w:rPr>
          <w:rFonts w:ascii="Calibri" w:hAnsi="Calibri" w:cs="Calibri"/>
        </w:rPr>
        <w:t>s</w:t>
      </w:r>
      <w:r w:rsidR="0053336D" w:rsidRPr="00461964">
        <w:rPr>
          <w:rFonts w:ascii="Calibri" w:hAnsi="Calibri" w:cs="Calibri"/>
        </w:rPr>
        <w:t>.</w:t>
      </w:r>
    </w:p>
    <w:p w:rsidR="002D6604" w:rsidRPr="00461964" w:rsidRDefault="002D6604" w:rsidP="003B2DBB">
      <w:pPr>
        <w:pStyle w:val="ListParagraph"/>
        <w:spacing w:line="360" w:lineRule="auto"/>
        <w:ind w:left="0" w:firstLine="284"/>
        <w:rPr>
          <w:rFonts w:ascii="Calibri" w:hAnsi="Calibri" w:cs="Calibri"/>
        </w:rPr>
      </w:pPr>
    </w:p>
    <w:p w:rsidR="002D6604" w:rsidRPr="000E261B" w:rsidRDefault="00A4253E" w:rsidP="008A3A42">
      <w:pPr>
        <w:pStyle w:val="Heading1"/>
      </w:pPr>
      <w:bookmarkStart w:id="92" w:name="_Toc322935546"/>
      <w:bookmarkStart w:id="93" w:name="_Toc332960028"/>
      <w:r>
        <w:t xml:space="preserve">7. </w:t>
      </w:r>
      <w:r w:rsidR="00D84A49" w:rsidRPr="00236B67">
        <w:t>Risk</w:t>
      </w:r>
      <w:r w:rsidR="00D84A49">
        <w:t xml:space="preserve"> </w:t>
      </w:r>
      <w:r w:rsidR="008F3A3B">
        <w:t>m</w:t>
      </w:r>
      <w:r>
        <w:t>anagement</w:t>
      </w:r>
      <w:r w:rsidR="002D6604" w:rsidRPr="000E261B">
        <w:t xml:space="preserve"> </w:t>
      </w:r>
      <w:bookmarkEnd w:id="92"/>
      <w:r w:rsidR="00D84A49">
        <w:t>aspects</w:t>
      </w:r>
      <w:bookmarkEnd w:id="93"/>
    </w:p>
    <w:p w:rsidR="00CB0BCF" w:rsidRPr="00461964" w:rsidRDefault="00BE13A9" w:rsidP="00201CE8">
      <w:pPr>
        <w:spacing w:before="100" w:beforeAutospacing="1" w:after="100" w:afterAutospacing="1" w:line="276" w:lineRule="auto"/>
        <w:rPr>
          <w:rFonts w:ascii="Calibri" w:hAnsi="Calibri" w:cs="Calibri"/>
        </w:rPr>
      </w:pPr>
      <w:r w:rsidRPr="00461964">
        <w:rPr>
          <w:rFonts w:ascii="Calibri" w:hAnsi="Calibri" w:cs="Calibri"/>
        </w:rPr>
        <w:t xml:space="preserve">The functional separation of risk assessment and risk management is an important element to safeguard the independence of the scientific advice underlying risk management decisions. </w:t>
      </w:r>
      <w:r w:rsidR="00D51649">
        <w:rPr>
          <w:rFonts w:ascii="Calibri" w:hAnsi="Calibri" w:cs="Calibri"/>
        </w:rPr>
        <w:t>However</w:t>
      </w:r>
      <w:r w:rsidR="008F3A3B">
        <w:rPr>
          <w:rFonts w:ascii="Calibri" w:hAnsi="Calibri" w:cs="Calibri"/>
        </w:rPr>
        <w:t xml:space="preserve">, </w:t>
      </w:r>
      <w:r w:rsidR="008F3A3B" w:rsidRPr="00015252">
        <w:rPr>
          <w:rFonts w:ascii="Calibri" w:hAnsi="Calibri" w:cs="Calibri"/>
        </w:rPr>
        <w:t>it</w:t>
      </w:r>
      <w:r w:rsidR="00D51649" w:rsidRPr="00015252">
        <w:rPr>
          <w:rFonts w:ascii="Calibri" w:hAnsi="Calibri" w:cs="Calibri"/>
        </w:rPr>
        <w:t xml:space="preserve"> is acknowledged that risk managers should communicate and interact with risk assessors throughout the process, particularly during the problem formulation and planning and scoping phases at the beginning of the risk analysis process.</w:t>
      </w:r>
      <w:r w:rsidR="00D51649">
        <w:rPr>
          <w:rFonts w:ascii="Calibri" w:hAnsi="Calibri" w:cs="Calibri"/>
        </w:rPr>
        <w:t xml:space="preserve"> </w:t>
      </w:r>
      <w:r w:rsidRPr="00461964">
        <w:rPr>
          <w:rFonts w:ascii="Calibri" w:hAnsi="Calibri" w:cs="Calibri"/>
        </w:rPr>
        <w:t xml:space="preserve"> </w:t>
      </w:r>
      <w:r w:rsidR="00D51649">
        <w:rPr>
          <w:rFonts w:ascii="Calibri" w:hAnsi="Calibri" w:cs="Calibri"/>
        </w:rPr>
        <w:t xml:space="preserve">This will </w:t>
      </w:r>
      <w:r w:rsidR="00792679">
        <w:rPr>
          <w:rFonts w:ascii="Calibri" w:hAnsi="Calibri" w:cs="Calibri"/>
        </w:rPr>
        <w:t>ensure</w:t>
      </w:r>
      <w:r w:rsidR="00792679" w:rsidRPr="00461964">
        <w:rPr>
          <w:rFonts w:ascii="Calibri" w:hAnsi="Calibri" w:cs="Calibri"/>
        </w:rPr>
        <w:t xml:space="preserve"> </w:t>
      </w:r>
      <w:r w:rsidRPr="00461964">
        <w:rPr>
          <w:rFonts w:ascii="Calibri" w:hAnsi="Calibri" w:cs="Calibri"/>
        </w:rPr>
        <w:t>that the risk assessment addresses appropriately the actual health concern and that risk managers understand the outcome</w:t>
      </w:r>
      <w:r w:rsidR="00047A20" w:rsidRPr="00461964">
        <w:rPr>
          <w:rFonts w:ascii="Calibri" w:hAnsi="Calibri" w:cs="Calibri"/>
        </w:rPr>
        <w:t>, limitations</w:t>
      </w:r>
      <w:r w:rsidRPr="00461964">
        <w:rPr>
          <w:rFonts w:ascii="Calibri" w:hAnsi="Calibri" w:cs="Calibri"/>
        </w:rPr>
        <w:t xml:space="preserve"> and implications of the risk assessment</w:t>
      </w:r>
      <w:r w:rsidR="00D51649">
        <w:rPr>
          <w:rFonts w:ascii="Calibri" w:hAnsi="Calibri" w:cs="Calibri"/>
        </w:rPr>
        <w:t>.</w:t>
      </w:r>
      <w:r w:rsidRPr="00461964">
        <w:rPr>
          <w:rFonts w:ascii="Calibri" w:hAnsi="Calibri" w:cs="Calibri"/>
        </w:rPr>
        <w:t xml:space="preserve"> </w:t>
      </w:r>
    </w:p>
    <w:p w:rsidR="00BE13A9" w:rsidRPr="00461964" w:rsidRDefault="00DB0F49" w:rsidP="00201CE8">
      <w:pPr>
        <w:spacing w:before="100" w:beforeAutospacing="1" w:after="100" w:afterAutospacing="1" w:line="276" w:lineRule="auto"/>
        <w:rPr>
          <w:rFonts w:ascii="Calibri" w:hAnsi="Calibri" w:cs="Calibri"/>
        </w:rPr>
      </w:pPr>
      <w:r w:rsidRPr="008F3A3B">
        <w:rPr>
          <w:rFonts w:ascii="Calibri" w:hAnsi="Calibri" w:cs="Calibri"/>
        </w:rPr>
        <w:t>This is achi</w:t>
      </w:r>
      <w:r w:rsidR="00047A20" w:rsidRPr="008F3A3B">
        <w:rPr>
          <w:rFonts w:ascii="Calibri" w:hAnsi="Calibri" w:cs="Calibri"/>
        </w:rPr>
        <w:t>e</w:t>
      </w:r>
      <w:r w:rsidRPr="008F3A3B">
        <w:rPr>
          <w:rFonts w:ascii="Calibri" w:hAnsi="Calibri" w:cs="Calibri"/>
        </w:rPr>
        <w:t>ved in FSANZ through a structural separation of risk assessment and management, and</w:t>
      </w:r>
      <w:r w:rsidRPr="00461964">
        <w:rPr>
          <w:rFonts w:ascii="Calibri" w:hAnsi="Calibri" w:cs="Calibri"/>
        </w:rPr>
        <w:t xml:space="preserve"> clearly defined interactions between the relevant sections. </w:t>
      </w:r>
      <w:r w:rsidR="00855DA9" w:rsidRPr="00461964">
        <w:rPr>
          <w:rFonts w:ascii="Calibri" w:hAnsi="Calibri" w:cs="Calibri"/>
        </w:rPr>
        <w:t xml:space="preserve">In particular in routine work, addressing applications and proposals, this separation and communication works well. </w:t>
      </w:r>
      <w:r w:rsidR="00F85F04" w:rsidRPr="00201CE8">
        <w:rPr>
          <w:rFonts w:ascii="Calibri" w:hAnsi="Calibri" w:cs="Calibri"/>
        </w:rPr>
        <w:t>Risk assessors and risk managers communicate on progress via the multi-disciplinary teams that are established.</w:t>
      </w:r>
      <w:r w:rsidR="00F85F04" w:rsidRPr="00461964">
        <w:rPr>
          <w:rFonts w:ascii="Calibri" w:hAnsi="Calibri" w:cs="Calibri"/>
        </w:rPr>
        <w:t xml:space="preserve"> </w:t>
      </w:r>
      <w:r w:rsidR="00F85F04">
        <w:rPr>
          <w:rFonts w:ascii="Calibri" w:hAnsi="Calibri" w:cs="Calibri"/>
        </w:rPr>
        <w:t xml:space="preserve">The </w:t>
      </w:r>
      <w:r w:rsidR="00855DA9" w:rsidRPr="00461964">
        <w:rPr>
          <w:rFonts w:ascii="Calibri" w:hAnsi="Calibri" w:cs="Calibri"/>
        </w:rPr>
        <w:t>respective roles of risk assessment and management can become less clear during issues management</w:t>
      </w:r>
      <w:r w:rsidR="00047A20" w:rsidRPr="00461964">
        <w:rPr>
          <w:rFonts w:ascii="Calibri" w:hAnsi="Calibri" w:cs="Calibri"/>
        </w:rPr>
        <w:t xml:space="preserve"> and </w:t>
      </w:r>
      <w:r w:rsidR="000B2585" w:rsidRPr="00461964">
        <w:rPr>
          <w:rFonts w:ascii="Calibri" w:hAnsi="Calibri" w:cs="Calibri"/>
        </w:rPr>
        <w:t>interactions are</w:t>
      </w:r>
      <w:r w:rsidR="00047A20" w:rsidRPr="00461964">
        <w:rPr>
          <w:rFonts w:ascii="Calibri" w:hAnsi="Calibri" w:cs="Calibri"/>
        </w:rPr>
        <w:t xml:space="preserve"> more challenging.</w:t>
      </w:r>
      <w:r w:rsidR="00855DA9" w:rsidRPr="00461964">
        <w:rPr>
          <w:rFonts w:ascii="Calibri" w:hAnsi="Calibri" w:cs="Calibri"/>
        </w:rPr>
        <w:t xml:space="preserve"> </w:t>
      </w:r>
    </w:p>
    <w:p w:rsidR="00D84A49" w:rsidRDefault="002131F7" w:rsidP="008A3A42">
      <w:pPr>
        <w:pStyle w:val="Heading2"/>
      </w:pPr>
      <w:bookmarkStart w:id="94" w:name="_Toc332960029"/>
      <w:r>
        <w:t xml:space="preserve">7.1. FSANZ </w:t>
      </w:r>
      <w:r w:rsidR="008F3A3B">
        <w:t>r</w:t>
      </w:r>
      <w:r>
        <w:t xml:space="preserve">isk </w:t>
      </w:r>
      <w:r w:rsidR="008F3A3B">
        <w:t>m</w:t>
      </w:r>
      <w:r>
        <w:t>anagement</w:t>
      </w:r>
      <w:r w:rsidR="004B7D11">
        <w:t xml:space="preserve"> </w:t>
      </w:r>
      <w:r w:rsidR="008F3A3B">
        <w:t>v</w:t>
      </w:r>
      <w:r w:rsidR="00F579CD">
        <w:t xml:space="preserve">iews on the </w:t>
      </w:r>
      <w:r w:rsidR="008F3A3B">
        <w:t>r</w:t>
      </w:r>
      <w:r w:rsidR="00F579CD">
        <w:t xml:space="preserve">isk </w:t>
      </w:r>
      <w:r w:rsidR="008F3A3B">
        <w:t>a</w:t>
      </w:r>
      <w:r w:rsidR="00F579CD">
        <w:t>ssessments</w:t>
      </w:r>
      <w:bookmarkEnd w:id="94"/>
    </w:p>
    <w:p w:rsidR="000B2585" w:rsidRPr="00461964" w:rsidRDefault="000B2585" w:rsidP="00201CE8">
      <w:pPr>
        <w:spacing w:before="100" w:beforeAutospacing="1" w:after="100" w:afterAutospacing="1" w:line="276" w:lineRule="auto"/>
        <w:rPr>
          <w:rFonts w:ascii="Calibri" w:hAnsi="Calibri" w:cs="Calibri"/>
        </w:rPr>
      </w:pPr>
      <w:r w:rsidRPr="00461964">
        <w:rPr>
          <w:rFonts w:ascii="Calibri" w:hAnsi="Calibri" w:cs="Calibri"/>
        </w:rPr>
        <w:t>A specific point raised by FSANZ risk managers was that there could be more use of existing risk asse</w:t>
      </w:r>
      <w:r w:rsidR="00180DF2" w:rsidRPr="00461964">
        <w:rPr>
          <w:rFonts w:ascii="Calibri" w:hAnsi="Calibri" w:cs="Calibri"/>
        </w:rPr>
        <w:t xml:space="preserve">ssments from other authorities, </w:t>
      </w:r>
      <w:r w:rsidRPr="00461964">
        <w:rPr>
          <w:rFonts w:ascii="Calibri" w:hAnsi="Calibri" w:cs="Calibri"/>
        </w:rPr>
        <w:t xml:space="preserve">especially if </w:t>
      </w:r>
      <w:r w:rsidR="00180DF2" w:rsidRPr="00461964">
        <w:rPr>
          <w:rFonts w:ascii="Calibri" w:hAnsi="Calibri" w:cs="Calibri"/>
        </w:rPr>
        <w:t xml:space="preserve">dietary exposure is estimated to be low. However, </w:t>
      </w:r>
      <w:r w:rsidR="0064535A" w:rsidRPr="00461964">
        <w:rPr>
          <w:rFonts w:ascii="Calibri" w:hAnsi="Calibri" w:cs="Calibri"/>
        </w:rPr>
        <w:t xml:space="preserve">when adopting such an approach, </w:t>
      </w:r>
      <w:r w:rsidR="00180DF2" w:rsidRPr="00461964">
        <w:rPr>
          <w:rFonts w:ascii="Calibri" w:hAnsi="Calibri" w:cs="Calibri"/>
        </w:rPr>
        <w:t xml:space="preserve">care has to be taken that </w:t>
      </w:r>
      <w:r w:rsidR="003B5ADD" w:rsidRPr="00461964">
        <w:rPr>
          <w:rFonts w:ascii="Calibri" w:hAnsi="Calibri" w:cs="Calibri"/>
        </w:rPr>
        <w:t xml:space="preserve">relevant </w:t>
      </w:r>
      <w:r w:rsidR="00180DF2" w:rsidRPr="00461964">
        <w:rPr>
          <w:rFonts w:ascii="Calibri" w:hAnsi="Calibri" w:cs="Calibri"/>
        </w:rPr>
        <w:t>e</w:t>
      </w:r>
      <w:r w:rsidR="003B5ADD" w:rsidRPr="00461964">
        <w:rPr>
          <w:rFonts w:ascii="Calibri" w:hAnsi="Calibri" w:cs="Calibri"/>
        </w:rPr>
        <w:t xml:space="preserve">xisting risk assessments </w:t>
      </w:r>
      <w:r w:rsidR="00180DF2" w:rsidRPr="00461964">
        <w:rPr>
          <w:rFonts w:ascii="Calibri" w:hAnsi="Calibri" w:cs="Calibri"/>
        </w:rPr>
        <w:t xml:space="preserve">are addressing the same </w:t>
      </w:r>
      <w:r w:rsidR="003B5ADD" w:rsidRPr="00461964">
        <w:rPr>
          <w:rFonts w:ascii="Calibri" w:hAnsi="Calibri" w:cs="Calibri"/>
        </w:rPr>
        <w:t>concern</w:t>
      </w:r>
      <w:r w:rsidR="00180DF2" w:rsidRPr="00461964">
        <w:rPr>
          <w:rFonts w:ascii="Calibri" w:hAnsi="Calibri" w:cs="Calibri"/>
        </w:rPr>
        <w:t xml:space="preserve"> and are established according to the internationally accepted principles </w:t>
      </w:r>
      <w:r w:rsidR="008F3A3B">
        <w:rPr>
          <w:rFonts w:ascii="Calibri" w:hAnsi="Calibri" w:cs="Calibri"/>
        </w:rPr>
        <w:t xml:space="preserve">that </w:t>
      </w:r>
      <w:r w:rsidR="00180DF2" w:rsidRPr="00461964">
        <w:rPr>
          <w:rFonts w:ascii="Calibri" w:hAnsi="Calibri" w:cs="Calibri"/>
        </w:rPr>
        <w:t xml:space="preserve">have been adopted and implemented by FSANZ. </w:t>
      </w:r>
      <w:r w:rsidR="00235BF4" w:rsidRPr="00461964">
        <w:rPr>
          <w:rFonts w:ascii="Calibri" w:hAnsi="Calibri" w:cs="Calibri"/>
        </w:rPr>
        <w:t xml:space="preserve">It is noted that existing international (FAO/WHO) microbiological and chemical risk assessments are taken into account in the current FSANZ risk assessment process. </w:t>
      </w:r>
      <w:r w:rsidR="0029210F" w:rsidRPr="00461964">
        <w:rPr>
          <w:rFonts w:ascii="Calibri" w:hAnsi="Calibri" w:cs="Calibri"/>
        </w:rPr>
        <w:t xml:space="preserve"> I</w:t>
      </w:r>
      <w:r w:rsidR="0064535A" w:rsidRPr="00461964">
        <w:rPr>
          <w:rFonts w:ascii="Calibri" w:hAnsi="Calibri" w:cs="Calibri"/>
        </w:rPr>
        <w:t>t is suggested</w:t>
      </w:r>
      <w:r w:rsidR="0029210F" w:rsidRPr="00461964">
        <w:rPr>
          <w:rFonts w:ascii="Calibri" w:hAnsi="Calibri" w:cs="Calibri"/>
        </w:rPr>
        <w:t xml:space="preserve"> that for certain sections in the risk assessment documents only a short summary is given and reference then made to the relevant existing assessments, rather then re-</w:t>
      </w:r>
      <w:r w:rsidR="0029210F" w:rsidRPr="00461964">
        <w:rPr>
          <w:rFonts w:ascii="Calibri" w:hAnsi="Calibri" w:cs="Calibri"/>
        </w:rPr>
        <w:lastRenderedPageBreak/>
        <w:t xml:space="preserve">writing what has already been done elsewhere. Of course this still requires a rapid peer-review of the existing assessment. </w:t>
      </w:r>
      <w:r w:rsidR="00475C6A" w:rsidRPr="00461964">
        <w:rPr>
          <w:rFonts w:ascii="Calibri" w:hAnsi="Calibri" w:cs="Calibri"/>
        </w:rPr>
        <w:t xml:space="preserve"> </w:t>
      </w:r>
    </w:p>
    <w:p w:rsidR="00A734D9" w:rsidRPr="00461964" w:rsidRDefault="0029210F" w:rsidP="00201CE8">
      <w:pPr>
        <w:spacing w:before="100" w:beforeAutospacing="1" w:after="100" w:afterAutospacing="1" w:line="276" w:lineRule="auto"/>
        <w:rPr>
          <w:rFonts w:ascii="Calibri" w:hAnsi="Calibri" w:cs="Calibri"/>
        </w:rPr>
      </w:pPr>
      <w:r w:rsidRPr="00461964">
        <w:rPr>
          <w:rFonts w:ascii="Calibri" w:hAnsi="Calibri" w:cs="Calibri"/>
        </w:rPr>
        <w:t xml:space="preserve">Further points raised were that the internal coordination of risk assessments has improved over </w:t>
      </w:r>
      <w:r w:rsidR="007F7425">
        <w:rPr>
          <w:rFonts w:ascii="Calibri" w:hAnsi="Calibri" w:cs="Calibri"/>
        </w:rPr>
        <w:t xml:space="preserve">recent </w:t>
      </w:r>
      <w:r w:rsidRPr="00461964">
        <w:rPr>
          <w:rFonts w:ascii="Calibri" w:hAnsi="Calibri" w:cs="Calibri"/>
        </w:rPr>
        <w:t>years and that they are more multidisciplinary. Suggestions raised for further improvement relat</w:t>
      </w:r>
      <w:r w:rsidR="005E7E78" w:rsidRPr="00461964">
        <w:rPr>
          <w:rFonts w:ascii="Calibri" w:hAnsi="Calibri" w:cs="Calibri"/>
        </w:rPr>
        <w:t xml:space="preserve">e to the risk assessment report. </w:t>
      </w:r>
      <w:r w:rsidR="00EC7060" w:rsidRPr="00461964">
        <w:rPr>
          <w:rFonts w:ascii="Calibri" w:hAnsi="Calibri" w:cs="Calibri"/>
        </w:rPr>
        <w:t>New reports, on applications,</w:t>
      </w:r>
      <w:r w:rsidR="005E7E78" w:rsidRPr="00461964">
        <w:rPr>
          <w:rFonts w:ascii="Calibri" w:hAnsi="Calibri" w:cs="Calibri"/>
        </w:rPr>
        <w:t xml:space="preserve"> are </w:t>
      </w:r>
      <w:r w:rsidR="00EC7060" w:rsidRPr="00461964">
        <w:rPr>
          <w:rFonts w:ascii="Calibri" w:hAnsi="Calibri" w:cs="Calibri"/>
        </w:rPr>
        <w:t>seen to become</w:t>
      </w:r>
      <w:r w:rsidR="005E7E78" w:rsidRPr="00461964">
        <w:rPr>
          <w:rFonts w:ascii="Calibri" w:hAnsi="Calibri" w:cs="Calibri"/>
        </w:rPr>
        <w:t xml:space="preserve"> too ‘bureaucratic’, e.g</w:t>
      </w:r>
      <w:r w:rsidR="00EC7060" w:rsidRPr="00461964">
        <w:rPr>
          <w:rFonts w:ascii="Calibri" w:hAnsi="Calibri" w:cs="Calibri"/>
        </w:rPr>
        <w:t>.</w:t>
      </w:r>
      <w:r w:rsidR="005E7E78" w:rsidRPr="00461964">
        <w:rPr>
          <w:rFonts w:ascii="Calibri" w:hAnsi="Calibri" w:cs="Calibri"/>
        </w:rPr>
        <w:t xml:space="preserve"> </w:t>
      </w:r>
      <w:r w:rsidR="00EC7060" w:rsidRPr="00461964">
        <w:rPr>
          <w:rFonts w:ascii="Calibri" w:hAnsi="Calibri" w:cs="Calibri"/>
        </w:rPr>
        <w:t xml:space="preserve">the risk assessment </w:t>
      </w:r>
      <w:r w:rsidR="005E7E78" w:rsidRPr="00461964">
        <w:rPr>
          <w:rFonts w:ascii="Calibri" w:hAnsi="Calibri" w:cs="Calibri"/>
        </w:rPr>
        <w:t xml:space="preserve">part </w:t>
      </w:r>
      <w:r w:rsidR="00EC7060" w:rsidRPr="00461964">
        <w:rPr>
          <w:rFonts w:ascii="Calibri" w:hAnsi="Calibri" w:cs="Calibri"/>
        </w:rPr>
        <w:t xml:space="preserve">is </w:t>
      </w:r>
      <w:r w:rsidR="005E7E78" w:rsidRPr="00461964">
        <w:rPr>
          <w:rFonts w:ascii="Calibri" w:hAnsi="Calibri" w:cs="Calibri"/>
        </w:rPr>
        <w:t xml:space="preserve">so short that </w:t>
      </w:r>
      <w:r w:rsidR="00EC7060" w:rsidRPr="00461964">
        <w:rPr>
          <w:rFonts w:ascii="Calibri" w:hAnsi="Calibri" w:cs="Calibri"/>
        </w:rPr>
        <w:t>risk management</w:t>
      </w:r>
      <w:r w:rsidR="005E7E78" w:rsidRPr="00461964">
        <w:rPr>
          <w:rFonts w:ascii="Calibri" w:hAnsi="Calibri" w:cs="Calibri"/>
        </w:rPr>
        <w:t xml:space="preserve"> decision</w:t>
      </w:r>
      <w:r w:rsidR="00465199">
        <w:rPr>
          <w:rFonts w:ascii="Calibri" w:hAnsi="Calibri" w:cs="Calibri"/>
        </w:rPr>
        <w:t>s</w:t>
      </w:r>
      <w:r w:rsidR="005E7E78" w:rsidRPr="00461964">
        <w:rPr>
          <w:rFonts w:ascii="Calibri" w:hAnsi="Calibri" w:cs="Calibri"/>
        </w:rPr>
        <w:t xml:space="preserve"> may not be clear.</w:t>
      </w:r>
      <w:r w:rsidR="006F21D3" w:rsidRPr="00461964">
        <w:rPr>
          <w:rFonts w:ascii="Calibri" w:hAnsi="Calibri" w:cs="Calibri"/>
        </w:rPr>
        <w:t xml:space="preserve"> To understand the risk assessment</w:t>
      </w:r>
      <w:r w:rsidR="00344F67">
        <w:rPr>
          <w:rFonts w:ascii="Calibri" w:hAnsi="Calibri" w:cs="Calibri"/>
        </w:rPr>
        <w:t>,</w:t>
      </w:r>
      <w:r w:rsidR="006F21D3" w:rsidRPr="00461964">
        <w:rPr>
          <w:rFonts w:ascii="Calibri" w:hAnsi="Calibri" w:cs="Calibri"/>
        </w:rPr>
        <w:t xml:space="preserve"> one has to refer back to the detailed risk assessments. Therefore it would </w:t>
      </w:r>
      <w:r w:rsidR="009E3842" w:rsidRPr="00461964">
        <w:rPr>
          <w:rFonts w:ascii="Calibri" w:hAnsi="Calibri" w:cs="Calibri"/>
        </w:rPr>
        <w:t>be</w:t>
      </w:r>
      <w:r w:rsidR="006F21D3" w:rsidRPr="00461964">
        <w:rPr>
          <w:rFonts w:ascii="Calibri" w:hAnsi="Calibri" w:cs="Calibri"/>
        </w:rPr>
        <w:t xml:space="preserve"> beneficial to include the key decision points of the risk assessment in the final report. </w:t>
      </w:r>
      <w:r w:rsidR="00ED3494" w:rsidRPr="00461964">
        <w:rPr>
          <w:rFonts w:ascii="Calibri" w:hAnsi="Calibri" w:cs="Calibri"/>
        </w:rPr>
        <w:t>Concern was also raised that there are statutory time-lines for applications and that often after the finalization of the risk assessment there is not enough time for risk management decision</w:t>
      </w:r>
      <w:r w:rsidR="00497FA5">
        <w:rPr>
          <w:rFonts w:ascii="Calibri" w:hAnsi="Calibri" w:cs="Calibri"/>
        </w:rPr>
        <w:t>s</w:t>
      </w:r>
      <w:r w:rsidR="00ED3494" w:rsidRPr="00461964">
        <w:rPr>
          <w:rFonts w:ascii="Calibri" w:hAnsi="Calibri" w:cs="Calibri"/>
        </w:rPr>
        <w:t xml:space="preserve">, raising the question if risk assessors sufficiently understand the potentially complex risk management decision process. As risk assessments become increasingly more complex, so may the risk management decision process increase in complexity. </w:t>
      </w:r>
      <w:r w:rsidR="00AD6D94" w:rsidRPr="00461964">
        <w:rPr>
          <w:rFonts w:ascii="Calibri" w:hAnsi="Calibri" w:cs="Calibri"/>
        </w:rPr>
        <w:t>One specific example is the area of uncertainty in risk assessment, which requires a lot of interaction between risk assessment and risk management to understand the reasons and implications of uncertainties underlying the risk assessment. Clearly expressing uncertainty in risk assessment an</w:t>
      </w:r>
      <w:r w:rsidR="00A734D9" w:rsidRPr="00461964">
        <w:rPr>
          <w:rFonts w:ascii="Calibri" w:hAnsi="Calibri" w:cs="Calibri"/>
        </w:rPr>
        <w:t xml:space="preserve">d proper consideration of such </w:t>
      </w:r>
      <w:r w:rsidR="00AD6D94" w:rsidRPr="00461964">
        <w:rPr>
          <w:rFonts w:ascii="Calibri" w:hAnsi="Calibri" w:cs="Calibri"/>
        </w:rPr>
        <w:t xml:space="preserve">uncertainties in the risk management </w:t>
      </w:r>
      <w:r w:rsidR="00A734D9" w:rsidRPr="00461964">
        <w:rPr>
          <w:rFonts w:ascii="Calibri" w:hAnsi="Calibri" w:cs="Calibri"/>
        </w:rPr>
        <w:t xml:space="preserve">decision-making </w:t>
      </w:r>
      <w:r w:rsidR="00AD6D94" w:rsidRPr="00461964">
        <w:rPr>
          <w:rFonts w:ascii="Calibri" w:hAnsi="Calibri" w:cs="Calibri"/>
        </w:rPr>
        <w:t xml:space="preserve">process is an area of </w:t>
      </w:r>
      <w:r w:rsidR="00A734D9" w:rsidRPr="00461964">
        <w:rPr>
          <w:rFonts w:ascii="Calibri" w:hAnsi="Calibri" w:cs="Calibri"/>
        </w:rPr>
        <w:t xml:space="preserve">intense </w:t>
      </w:r>
      <w:r w:rsidR="004B7D11" w:rsidRPr="00461964">
        <w:rPr>
          <w:rFonts w:ascii="Calibri" w:hAnsi="Calibri" w:cs="Calibri"/>
        </w:rPr>
        <w:t>debate</w:t>
      </w:r>
      <w:r w:rsidR="00A734D9" w:rsidRPr="00461964">
        <w:rPr>
          <w:rFonts w:ascii="Calibri" w:hAnsi="Calibri" w:cs="Calibri"/>
        </w:rPr>
        <w:t xml:space="preserve"> internationally. </w:t>
      </w:r>
    </w:p>
    <w:p w:rsidR="004B7D11" w:rsidRDefault="004B7D11" w:rsidP="00C06853">
      <w:pPr>
        <w:pStyle w:val="Heading2"/>
      </w:pPr>
      <w:bookmarkStart w:id="95" w:name="_Toc332960030"/>
      <w:r w:rsidRPr="00C06853">
        <w:t xml:space="preserve">7.2. </w:t>
      </w:r>
      <w:r w:rsidR="00416B26" w:rsidRPr="00C06853">
        <w:t xml:space="preserve">Interaction of </w:t>
      </w:r>
      <w:r w:rsidR="008F3A3B" w:rsidRPr="00C06853">
        <w:t>r</w:t>
      </w:r>
      <w:r w:rsidR="001A31D8" w:rsidRPr="00C06853">
        <w:t xml:space="preserve">isk </w:t>
      </w:r>
      <w:r w:rsidR="008F3A3B" w:rsidRPr="00C06853">
        <w:t>a</w:t>
      </w:r>
      <w:r w:rsidR="001A31D8" w:rsidRPr="00C06853">
        <w:t>ssessment</w:t>
      </w:r>
      <w:r w:rsidRPr="00C06853">
        <w:t xml:space="preserve"> </w:t>
      </w:r>
      <w:r w:rsidR="002131F7" w:rsidRPr="00C06853">
        <w:t xml:space="preserve">and </w:t>
      </w:r>
      <w:r w:rsidR="008F3A3B" w:rsidRPr="00C06853">
        <w:t>r</w:t>
      </w:r>
      <w:r w:rsidR="002131F7" w:rsidRPr="00C06853">
        <w:t xml:space="preserve">isk </w:t>
      </w:r>
      <w:r w:rsidR="008F3A3B" w:rsidRPr="00C06853">
        <w:t>m</w:t>
      </w:r>
      <w:r w:rsidRPr="00C06853">
        <w:t>an</w:t>
      </w:r>
      <w:r>
        <w:t>agement</w:t>
      </w:r>
      <w:bookmarkEnd w:id="95"/>
    </w:p>
    <w:p w:rsidR="001116A6" w:rsidRDefault="00A734D9" w:rsidP="00201CE8">
      <w:pPr>
        <w:spacing w:before="100" w:beforeAutospacing="1" w:after="100" w:afterAutospacing="1" w:line="276" w:lineRule="auto"/>
        <w:rPr>
          <w:rFonts w:ascii="Calibri" w:hAnsi="Calibri" w:cs="Calibri"/>
        </w:rPr>
      </w:pPr>
      <w:r w:rsidRPr="00461964">
        <w:rPr>
          <w:rFonts w:ascii="Calibri" w:hAnsi="Calibri" w:cs="Calibri"/>
        </w:rPr>
        <w:t xml:space="preserve">The risk assessment process has been </w:t>
      </w:r>
      <w:r w:rsidR="00AF460E" w:rsidRPr="00461964">
        <w:rPr>
          <w:rFonts w:ascii="Calibri" w:hAnsi="Calibri" w:cs="Calibri"/>
        </w:rPr>
        <w:t>improved</w:t>
      </w:r>
      <w:r w:rsidRPr="00461964">
        <w:rPr>
          <w:rFonts w:ascii="Calibri" w:hAnsi="Calibri" w:cs="Calibri"/>
        </w:rPr>
        <w:t xml:space="preserve"> in detail, clarity and transparency internationally and at FSANZ over </w:t>
      </w:r>
      <w:r w:rsidR="008F3A3B">
        <w:rPr>
          <w:rFonts w:ascii="Calibri" w:hAnsi="Calibri" w:cs="Calibri"/>
        </w:rPr>
        <w:t>recent</w:t>
      </w:r>
      <w:r w:rsidRPr="00461964">
        <w:rPr>
          <w:rFonts w:ascii="Calibri" w:hAnsi="Calibri" w:cs="Calibri"/>
        </w:rPr>
        <w:t xml:space="preserve"> years. However, the same level of </w:t>
      </w:r>
      <w:r w:rsidR="00AF460E" w:rsidRPr="00461964">
        <w:rPr>
          <w:rFonts w:ascii="Calibri" w:hAnsi="Calibri" w:cs="Calibri"/>
        </w:rPr>
        <w:t xml:space="preserve">further development and </w:t>
      </w:r>
      <w:r w:rsidRPr="00461964">
        <w:rPr>
          <w:rFonts w:ascii="Calibri" w:hAnsi="Calibri" w:cs="Calibri"/>
        </w:rPr>
        <w:t>improvement</w:t>
      </w:r>
      <w:r w:rsidR="00AF460E" w:rsidRPr="00461964">
        <w:rPr>
          <w:rFonts w:ascii="Calibri" w:hAnsi="Calibri" w:cs="Calibri"/>
        </w:rPr>
        <w:t>,</w:t>
      </w:r>
      <w:r w:rsidRPr="00461964">
        <w:rPr>
          <w:rFonts w:ascii="Calibri" w:hAnsi="Calibri" w:cs="Calibri"/>
        </w:rPr>
        <w:t xml:space="preserve"> in p</w:t>
      </w:r>
      <w:r w:rsidR="002131F7">
        <w:rPr>
          <w:rFonts w:ascii="Calibri" w:hAnsi="Calibri" w:cs="Calibri"/>
        </w:rPr>
        <w:t>articular the</w:t>
      </w:r>
      <w:r w:rsidRPr="00461964">
        <w:rPr>
          <w:rFonts w:ascii="Calibri" w:hAnsi="Calibri" w:cs="Calibri"/>
        </w:rPr>
        <w:t xml:space="preserve"> transparency in the decision-making process</w:t>
      </w:r>
      <w:r w:rsidR="00AF460E" w:rsidRPr="00461964">
        <w:rPr>
          <w:rFonts w:ascii="Calibri" w:hAnsi="Calibri" w:cs="Calibri"/>
        </w:rPr>
        <w:t>,</w:t>
      </w:r>
      <w:r w:rsidRPr="00461964">
        <w:rPr>
          <w:rFonts w:ascii="Calibri" w:hAnsi="Calibri" w:cs="Calibri"/>
        </w:rPr>
        <w:t xml:space="preserve"> has not followed in the risk management area. </w:t>
      </w:r>
      <w:r w:rsidR="00AB26FD" w:rsidRPr="00461964">
        <w:rPr>
          <w:rFonts w:ascii="Calibri" w:hAnsi="Calibri" w:cs="Calibri"/>
        </w:rPr>
        <w:t xml:space="preserve">This is of concern </w:t>
      </w:r>
      <w:r w:rsidR="00526F09" w:rsidRPr="00461964">
        <w:rPr>
          <w:rFonts w:ascii="Calibri" w:hAnsi="Calibri" w:cs="Calibri"/>
        </w:rPr>
        <w:t xml:space="preserve">also </w:t>
      </w:r>
      <w:r w:rsidR="00AB26FD" w:rsidRPr="00461964">
        <w:rPr>
          <w:rFonts w:ascii="Calibri" w:hAnsi="Calibri" w:cs="Calibri"/>
        </w:rPr>
        <w:t>for the risk assessment</w:t>
      </w:r>
      <w:r w:rsidR="00526F09" w:rsidRPr="00461964">
        <w:rPr>
          <w:rFonts w:ascii="Calibri" w:hAnsi="Calibri" w:cs="Calibri"/>
        </w:rPr>
        <w:t xml:space="preserve"> process</w:t>
      </w:r>
      <w:r w:rsidR="00AB26FD" w:rsidRPr="00461964">
        <w:rPr>
          <w:rFonts w:ascii="Calibri" w:hAnsi="Calibri" w:cs="Calibri"/>
        </w:rPr>
        <w:t xml:space="preserve">, in that </w:t>
      </w:r>
      <w:r w:rsidR="003947C6" w:rsidRPr="00461964">
        <w:rPr>
          <w:rFonts w:ascii="Calibri" w:hAnsi="Calibri" w:cs="Calibri"/>
        </w:rPr>
        <w:t xml:space="preserve">it may not be clear in the </w:t>
      </w:r>
      <w:r w:rsidR="00526F09" w:rsidRPr="00461964">
        <w:rPr>
          <w:rFonts w:ascii="Calibri" w:hAnsi="Calibri" w:cs="Calibri"/>
        </w:rPr>
        <w:t>final risk management</w:t>
      </w:r>
      <w:r w:rsidR="003947C6" w:rsidRPr="00461964">
        <w:rPr>
          <w:rFonts w:ascii="Calibri" w:hAnsi="Calibri" w:cs="Calibri"/>
        </w:rPr>
        <w:t xml:space="preserve"> </w:t>
      </w:r>
      <w:r w:rsidR="001A31D8">
        <w:rPr>
          <w:rFonts w:ascii="Calibri" w:hAnsi="Calibri" w:cs="Calibri"/>
        </w:rPr>
        <w:t>outcome</w:t>
      </w:r>
      <w:r w:rsidR="00497FA5">
        <w:rPr>
          <w:rFonts w:ascii="Calibri" w:hAnsi="Calibri" w:cs="Calibri"/>
        </w:rPr>
        <w:t>,</w:t>
      </w:r>
      <w:r w:rsidR="001A31D8">
        <w:rPr>
          <w:rFonts w:ascii="Calibri" w:hAnsi="Calibri" w:cs="Calibri"/>
        </w:rPr>
        <w:t xml:space="preserve"> </w:t>
      </w:r>
      <w:r w:rsidR="0003168B" w:rsidRPr="00461964">
        <w:rPr>
          <w:rFonts w:ascii="Calibri" w:hAnsi="Calibri" w:cs="Calibri"/>
        </w:rPr>
        <w:t>how the risk assessment was use</w:t>
      </w:r>
      <w:r w:rsidR="003947C6" w:rsidRPr="00461964">
        <w:rPr>
          <w:rFonts w:ascii="Calibri" w:hAnsi="Calibri" w:cs="Calibri"/>
        </w:rPr>
        <w:t>d</w:t>
      </w:r>
      <w:r w:rsidR="0003168B" w:rsidRPr="00461964">
        <w:rPr>
          <w:rFonts w:ascii="Calibri" w:hAnsi="Calibri" w:cs="Calibri"/>
        </w:rPr>
        <w:t xml:space="preserve"> </w:t>
      </w:r>
      <w:r w:rsidR="003947C6" w:rsidRPr="00461964">
        <w:rPr>
          <w:rFonts w:ascii="Calibri" w:hAnsi="Calibri" w:cs="Calibri"/>
        </w:rPr>
        <w:t>in the decision-making process.</w:t>
      </w:r>
      <w:r w:rsidR="0003168B" w:rsidRPr="00461964">
        <w:rPr>
          <w:rFonts w:ascii="Calibri" w:hAnsi="Calibri" w:cs="Calibri"/>
        </w:rPr>
        <w:t xml:space="preserve"> </w:t>
      </w:r>
    </w:p>
    <w:p w:rsidR="00A734D9" w:rsidRPr="00461964" w:rsidRDefault="0003168B" w:rsidP="00201CE8">
      <w:pPr>
        <w:spacing w:before="100" w:beforeAutospacing="1" w:after="100" w:afterAutospacing="1" w:line="276" w:lineRule="auto"/>
        <w:rPr>
          <w:rFonts w:ascii="Calibri" w:hAnsi="Calibri" w:cs="Calibri"/>
        </w:rPr>
      </w:pPr>
      <w:r w:rsidRPr="008F3A3B">
        <w:rPr>
          <w:rFonts w:ascii="Calibri" w:hAnsi="Calibri" w:cs="Calibri"/>
        </w:rPr>
        <w:t>It is understood that recent efforts have been undertaken at FSANZ to develop a common risk</w:t>
      </w:r>
      <w:r w:rsidRPr="00461964">
        <w:rPr>
          <w:rFonts w:ascii="Calibri" w:hAnsi="Calibri" w:cs="Calibri"/>
        </w:rPr>
        <w:t xml:space="preserve"> management framework, i.e. a structured approach to decision-making, in order to address this </w:t>
      </w:r>
      <w:r w:rsidR="00023508" w:rsidRPr="00461964">
        <w:rPr>
          <w:rFonts w:ascii="Calibri" w:hAnsi="Calibri" w:cs="Calibri"/>
        </w:rPr>
        <w:t>concern</w:t>
      </w:r>
      <w:r w:rsidRPr="00461964">
        <w:rPr>
          <w:rFonts w:ascii="Calibri" w:hAnsi="Calibri" w:cs="Calibri"/>
        </w:rPr>
        <w:t>. It is re</w:t>
      </w:r>
      <w:r w:rsidR="00023508" w:rsidRPr="00461964">
        <w:rPr>
          <w:rFonts w:ascii="Calibri" w:hAnsi="Calibri" w:cs="Calibri"/>
        </w:rPr>
        <w:t>commended to further develop an</w:t>
      </w:r>
      <w:r w:rsidRPr="00461964">
        <w:rPr>
          <w:rFonts w:ascii="Calibri" w:hAnsi="Calibri" w:cs="Calibri"/>
        </w:rPr>
        <w:t>d</w:t>
      </w:r>
      <w:r w:rsidR="00023508" w:rsidRPr="00461964">
        <w:rPr>
          <w:rFonts w:ascii="Calibri" w:hAnsi="Calibri" w:cs="Calibri"/>
        </w:rPr>
        <w:t xml:space="preserve"> </w:t>
      </w:r>
      <w:r w:rsidRPr="00461964">
        <w:rPr>
          <w:rFonts w:ascii="Calibri" w:hAnsi="Calibri" w:cs="Calibri"/>
        </w:rPr>
        <w:t xml:space="preserve">implement such </w:t>
      </w:r>
      <w:r w:rsidR="00517F08">
        <w:rPr>
          <w:rFonts w:ascii="Calibri" w:hAnsi="Calibri" w:cs="Calibri"/>
        </w:rPr>
        <w:t>approaches</w:t>
      </w:r>
      <w:r w:rsidRPr="00461964">
        <w:rPr>
          <w:rFonts w:ascii="Calibri" w:hAnsi="Calibri" w:cs="Calibri"/>
        </w:rPr>
        <w:t xml:space="preserve">, </w:t>
      </w:r>
      <w:r w:rsidR="00114C2D">
        <w:rPr>
          <w:rFonts w:ascii="Calibri" w:hAnsi="Calibri" w:cs="Calibri"/>
        </w:rPr>
        <w:t xml:space="preserve">and </w:t>
      </w:r>
      <w:r w:rsidR="00517F08">
        <w:rPr>
          <w:rFonts w:ascii="Calibri" w:hAnsi="Calibri" w:cs="Calibri"/>
        </w:rPr>
        <w:t xml:space="preserve">interaction or </w:t>
      </w:r>
      <w:r w:rsidRPr="00461964">
        <w:rPr>
          <w:rFonts w:ascii="Calibri" w:hAnsi="Calibri" w:cs="Calibri"/>
        </w:rPr>
        <w:t>collaboration with other authorities</w:t>
      </w:r>
      <w:r w:rsidR="00517F08">
        <w:rPr>
          <w:rFonts w:ascii="Calibri" w:hAnsi="Calibri" w:cs="Calibri"/>
        </w:rPr>
        <w:t xml:space="preserve"> may be useful</w:t>
      </w:r>
      <w:r w:rsidRPr="00461964">
        <w:rPr>
          <w:rFonts w:ascii="Calibri" w:hAnsi="Calibri" w:cs="Calibri"/>
        </w:rPr>
        <w:t xml:space="preserve">, </w:t>
      </w:r>
      <w:r w:rsidR="00517F08">
        <w:rPr>
          <w:rFonts w:ascii="Calibri" w:hAnsi="Calibri" w:cs="Calibri"/>
        </w:rPr>
        <w:t xml:space="preserve">since they </w:t>
      </w:r>
      <w:r w:rsidRPr="00461964">
        <w:rPr>
          <w:rFonts w:ascii="Calibri" w:hAnsi="Calibri" w:cs="Calibri"/>
        </w:rPr>
        <w:t>often s</w:t>
      </w:r>
      <w:r w:rsidR="0007464F">
        <w:rPr>
          <w:rFonts w:ascii="Calibri" w:hAnsi="Calibri" w:cs="Calibri"/>
        </w:rPr>
        <w:t>truggle</w:t>
      </w:r>
      <w:r w:rsidR="009727CE" w:rsidRPr="00461964">
        <w:rPr>
          <w:rFonts w:ascii="Calibri" w:hAnsi="Calibri" w:cs="Calibri"/>
        </w:rPr>
        <w:t xml:space="preserve"> with the same problem</w:t>
      </w:r>
      <w:r w:rsidRPr="00461964">
        <w:rPr>
          <w:rFonts w:ascii="Calibri" w:hAnsi="Calibri" w:cs="Calibri"/>
        </w:rPr>
        <w:t xml:space="preserve">. </w:t>
      </w:r>
    </w:p>
    <w:p w:rsidR="00A1277A" w:rsidRPr="00461964" w:rsidRDefault="008371AE" w:rsidP="00201CE8">
      <w:pPr>
        <w:spacing w:before="100" w:beforeAutospacing="1" w:after="100" w:afterAutospacing="1" w:line="276" w:lineRule="auto"/>
        <w:rPr>
          <w:rFonts w:ascii="Calibri" w:hAnsi="Calibri" w:cs="Calibri"/>
        </w:rPr>
      </w:pPr>
      <w:r>
        <w:rPr>
          <w:rFonts w:ascii="Calibri" w:hAnsi="Calibri" w:cs="Calibri"/>
        </w:rPr>
        <w:t>T</w:t>
      </w:r>
      <w:r w:rsidRPr="003B4AC6">
        <w:rPr>
          <w:rFonts w:ascii="Calibri" w:hAnsi="Calibri" w:cs="Calibri"/>
        </w:rPr>
        <w:t xml:space="preserve">he relationship between risk assessment and risk management is an interactive, often iterative, process.  </w:t>
      </w:r>
      <w:r w:rsidR="00D977F0" w:rsidRPr="00461964">
        <w:rPr>
          <w:rFonts w:ascii="Calibri" w:hAnsi="Calibri" w:cs="Calibri"/>
        </w:rPr>
        <w:t>Further suggestion</w:t>
      </w:r>
      <w:r w:rsidR="00723245" w:rsidRPr="00461964">
        <w:rPr>
          <w:rFonts w:ascii="Calibri" w:hAnsi="Calibri" w:cs="Calibri"/>
        </w:rPr>
        <w:t>s</w:t>
      </w:r>
      <w:r w:rsidR="00D977F0" w:rsidRPr="00461964">
        <w:rPr>
          <w:rFonts w:ascii="Calibri" w:hAnsi="Calibri" w:cs="Calibri"/>
        </w:rPr>
        <w:t xml:space="preserve"> </w:t>
      </w:r>
      <w:r w:rsidR="00723245" w:rsidRPr="00461964">
        <w:rPr>
          <w:rFonts w:ascii="Calibri" w:hAnsi="Calibri" w:cs="Calibri"/>
        </w:rPr>
        <w:t>on how to improve the interaction between risk assessor and risk manager include more involvement of the risk assessor throughout the decision-making process</w:t>
      </w:r>
      <w:r w:rsidR="00D977F0" w:rsidRPr="00461964">
        <w:rPr>
          <w:rFonts w:ascii="Calibri" w:hAnsi="Calibri" w:cs="Calibri"/>
        </w:rPr>
        <w:t xml:space="preserve">, including in discussion on risk management options and </w:t>
      </w:r>
      <w:r w:rsidR="00CF49CE" w:rsidRPr="00461964">
        <w:rPr>
          <w:rFonts w:ascii="Calibri" w:hAnsi="Calibri" w:cs="Calibri"/>
        </w:rPr>
        <w:t>implications,</w:t>
      </w:r>
      <w:r w:rsidR="00D977F0" w:rsidRPr="00461964">
        <w:rPr>
          <w:rFonts w:ascii="Calibri" w:hAnsi="Calibri" w:cs="Calibri"/>
        </w:rPr>
        <w:t xml:space="preserve"> w</w:t>
      </w:r>
      <w:r w:rsidR="00497FA5">
        <w:rPr>
          <w:rFonts w:ascii="Calibri" w:hAnsi="Calibri" w:cs="Calibri"/>
        </w:rPr>
        <w:t>h</w:t>
      </w:r>
      <w:r w:rsidR="00D977F0" w:rsidRPr="00461964">
        <w:rPr>
          <w:rFonts w:ascii="Calibri" w:hAnsi="Calibri" w:cs="Calibri"/>
        </w:rPr>
        <w:t xml:space="preserve">ere the risk assessment can inform the process. </w:t>
      </w:r>
      <w:r w:rsidR="00723245" w:rsidRPr="00461964">
        <w:rPr>
          <w:rFonts w:ascii="Calibri" w:hAnsi="Calibri" w:cs="Calibri"/>
        </w:rPr>
        <w:t xml:space="preserve"> </w:t>
      </w:r>
      <w:r w:rsidR="00CF49CE" w:rsidRPr="00461964">
        <w:rPr>
          <w:rFonts w:ascii="Calibri" w:hAnsi="Calibri" w:cs="Calibri"/>
        </w:rPr>
        <w:t>Furthermore, risk assessment advice can be requested for different risk management options</w:t>
      </w:r>
      <w:r w:rsidR="004B001F">
        <w:rPr>
          <w:rFonts w:ascii="Calibri" w:hAnsi="Calibri" w:cs="Calibri"/>
        </w:rPr>
        <w:t>, e.g. impact on exposure and health outcome of different interventions or limits</w:t>
      </w:r>
      <w:r w:rsidR="00CF49CE" w:rsidRPr="00461964">
        <w:rPr>
          <w:rFonts w:ascii="Calibri" w:hAnsi="Calibri" w:cs="Calibri"/>
        </w:rPr>
        <w:t xml:space="preserve">. This is </w:t>
      </w:r>
      <w:r w:rsidR="00EB616B" w:rsidRPr="00461964">
        <w:rPr>
          <w:rFonts w:ascii="Calibri" w:hAnsi="Calibri" w:cs="Calibri"/>
        </w:rPr>
        <w:t>currently done in some cases for</w:t>
      </w:r>
      <w:r w:rsidR="00CF49CE" w:rsidRPr="00461964">
        <w:rPr>
          <w:rFonts w:ascii="Calibri" w:hAnsi="Calibri" w:cs="Calibri"/>
        </w:rPr>
        <w:t xml:space="preserve"> microbiological risk assessment and primary production standards, but could also be beneficial for the risk management decision process in other areas. </w:t>
      </w:r>
    </w:p>
    <w:p w:rsidR="00EB616B" w:rsidRPr="00461964" w:rsidRDefault="008F3A3B" w:rsidP="00201CE8">
      <w:pPr>
        <w:spacing w:before="100" w:beforeAutospacing="1" w:after="100" w:afterAutospacing="1" w:line="276" w:lineRule="auto"/>
        <w:rPr>
          <w:rFonts w:ascii="Calibri" w:hAnsi="Calibri" w:cs="Calibri"/>
        </w:rPr>
      </w:pPr>
      <w:r>
        <w:rPr>
          <w:rFonts w:ascii="Calibri" w:hAnsi="Calibri" w:cs="Calibri"/>
        </w:rPr>
        <w:t xml:space="preserve">One work </w:t>
      </w:r>
      <w:r w:rsidR="00CD4DD6" w:rsidRPr="00CD4DD6">
        <w:rPr>
          <w:rFonts w:ascii="Calibri" w:hAnsi="Calibri" w:cs="Calibri"/>
        </w:rPr>
        <w:t>area that c</w:t>
      </w:r>
      <w:r>
        <w:rPr>
          <w:rFonts w:ascii="Calibri" w:hAnsi="Calibri" w:cs="Calibri"/>
        </w:rPr>
        <w:t xml:space="preserve">ould </w:t>
      </w:r>
      <w:r w:rsidR="00CD4DD6" w:rsidRPr="00CD4DD6">
        <w:rPr>
          <w:rFonts w:ascii="Calibri" w:hAnsi="Calibri" w:cs="Calibri"/>
        </w:rPr>
        <w:t xml:space="preserve">contribute to risk assessment and risk management </w:t>
      </w:r>
      <w:r w:rsidR="00201CE8">
        <w:rPr>
          <w:rFonts w:ascii="Calibri" w:hAnsi="Calibri" w:cs="Calibri"/>
        </w:rPr>
        <w:t>is the</w:t>
      </w:r>
      <w:r w:rsidR="00CD4DD6" w:rsidRPr="00CD4DD6">
        <w:rPr>
          <w:rFonts w:ascii="Calibri" w:hAnsi="Calibri" w:cs="Calibri"/>
        </w:rPr>
        <w:t xml:space="preserve"> c</w:t>
      </w:r>
      <w:r w:rsidR="00EB616B" w:rsidRPr="00CD4DD6">
        <w:rPr>
          <w:rFonts w:ascii="Calibri" w:hAnsi="Calibri" w:cs="Calibri"/>
        </w:rPr>
        <w:t>onsumer and social sciences</w:t>
      </w:r>
      <w:r>
        <w:rPr>
          <w:rFonts w:ascii="Calibri" w:hAnsi="Calibri" w:cs="Calibri"/>
        </w:rPr>
        <w:t xml:space="preserve"> area</w:t>
      </w:r>
      <w:r w:rsidR="00CD4DD6" w:rsidRPr="00CD4DD6">
        <w:rPr>
          <w:rFonts w:ascii="Calibri" w:hAnsi="Calibri" w:cs="Calibri"/>
        </w:rPr>
        <w:t xml:space="preserve">, e.g. </w:t>
      </w:r>
      <w:r w:rsidR="00EB616B" w:rsidRPr="00CD4DD6">
        <w:rPr>
          <w:rFonts w:ascii="Calibri" w:hAnsi="Calibri" w:cs="Calibri"/>
        </w:rPr>
        <w:t xml:space="preserve">by helping to scope the risk assessment questions or to help target </w:t>
      </w:r>
      <w:r w:rsidR="00497FA5">
        <w:rPr>
          <w:rFonts w:ascii="Calibri" w:hAnsi="Calibri" w:cs="Calibri"/>
        </w:rPr>
        <w:t xml:space="preserve">risk management </w:t>
      </w:r>
      <w:r w:rsidR="00EB616B" w:rsidRPr="00CD4DD6">
        <w:rPr>
          <w:rFonts w:ascii="Calibri" w:hAnsi="Calibri" w:cs="Calibri"/>
        </w:rPr>
        <w:t>actions</w:t>
      </w:r>
      <w:r w:rsidR="00CD4DD6" w:rsidRPr="00CD4DD6">
        <w:rPr>
          <w:rFonts w:ascii="Calibri" w:hAnsi="Calibri" w:cs="Calibri"/>
        </w:rPr>
        <w:t xml:space="preserve"> (change in behaviour)</w:t>
      </w:r>
      <w:r w:rsidR="00EB616B" w:rsidRPr="00CD4DD6">
        <w:rPr>
          <w:rFonts w:ascii="Calibri" w:hAnsi="Calibri" w:cs="Calibri"/>
        </w:rPr>
        <w:t>.</w:t>
      </w:r>
      <w:r w:rsidR="00FA71D3" w:rsidRPr="00CD4DD6">
        <w:rPr>
          <w:rFonts w:ascii="Calibri" w:hAnsi="Calibri" w:cs="Calibri"/>
        </w:rPr>
        <w:t xml:space="preserve"> </w:t>
      </w:r>
    </w:p>
    <w:p w:rsidR="00641AF6" w:rsidRPr="00461964" w:rsidRDefault="00A1277A" w:rsidP="00201CE8">
      <w:pPr>
        <w:spacing w:before="100" w:beforeAutospacing="1" w:after="100" w:afterAutospacing="1" w:line="276" w:lineRule="auto"/>
        <w:rPr>
          <w:rFonts w:ascii="Calibri" w:hAnsi="Calibri" w:cs="Calibri"/>
        </w:rPr>
      </w:pPr>
      <w:r w:rsidRPr="00461964">
        <w:rPr>
          <w:rFonts w:ascii="Calibri" w:hAnsi="Calibri" w:cs="Calibri"/>
        </w:rPr>
        <w:lastRenderedPageBreak/>
        <w:t xml:space="preserve">Lastly, there is no evaluation of the effectiveness of regulatory measures taken, i.e. if the risk management measures proposed achieve the public health goal. Such a monitoring and evaluation framework can be elaborate but would be important for key public health issues. This has to be done in collaboration with </w:t>
      </w:r>
      <w:r w:rsidR="008371AE">
        <w:rPr>
          <w:rFonts w:ascii="Calibri" w:hAnsi="Calibri" w:cs="Calibri"/>
        </w:rPr>
        <w:t xml:space="preserve">New Zealand and </w:t>
      </w:r>
      <w:r w:rsidRPr="00461964">
        <w:rPr>
          <w:rFonts w:ascii="Calibri" w:hAnsi="Calibri" w:cs="Calibri"/>
        </w:rPr>
        <w:t xml:space="preserve">the </w:t>
      </w:r>
      <w:r w:rsidR="007515F4">
        <w:rPr>
          <w:rFonts w:ascii="Calibri" w:hAnsi="Calibri" w:cs="Calibri"/>
        </w:rPr>
        <w:t>s</w:t>
      </w:r>
      <w:r w:rsidRPr="00461964">
        <w:rPr>
          <w:rFonts w:ascii="Calibri" w:hAnsi="Calibri" w:cs="Calibri"/>
        </w:rPr>
        <w:t xml:space="preserve">tates and </w:t>
      </w:r>
      <w:r w:rsidR="007515F4">
        <w:rPr>
          <w:rFonts w:ascii="Calibri" w:hAnsi="Calibri" w:cs="Calibri"/>
        </w:rPr>
        <w:t>t</w:t>
      </w:r>
      <w:r w:rsidRPr="00461964">
        <w:rPr>
          <w:rFonts w:ascii="Calibri" w:hAnsi="Calibri" w:cs="Calibri"/>
        </w:rPr>
        <w:t xml:space="preserve">erritories, which are responsible for </w:t>
      </w:r>
      <w:r w:rsidR="007515F4">
        <w:rPr>
          <w:rFonts w:ascii="Calibri" w:hAnsi="Calibri" w:cs="Calibri"/>
        </w:rPr>
        <w:t xml:space="preserve">implementing </w:t>
      </w:r>
      <w:r w:rsidRPr="00461964">
        <w:rPr>
          <w:rFonts w:ascii="Calibri" w:hAnsi="Calibri" w:cs="Calibri"/>
        </w:rPr>
        <w:t xml:space="preserve">measures. </w:t>
      </w:r>
    </w:p>
    <w:p w:rsidR="0003168B" w:rsidRPr="002E1550" w:rsidRDefault="001A31D8" w:rsidP="008A3A42">
      <w:pPr>
        <w:pStyle w:val="Heading3"/>
      </w:pPr>
      <w:bookmarkStart w:id="96" w:name="_Toc332960031"/>
      <w:r>
        <w:t xml:space="preserve">7.2.1. </w:t>
      </w:r>
      <w:r w:rsidR="0003168B" w:rsidRPr="002E1550">
        <w:t>Recommendation</w:t>
      </w:r>
      <w:r w:rsidR="00497FA5">
        <w:t>s</w:t>
      </w:r>
      <w:r w:rsidR="00465199" w:rsidRPr="002E1550">
        <w:t xml:space="preserve"> regarding the interaction between risk assessment and risk management</w:t>
      </w:r>
      <w:bookmarkEnd w:id="96"/>
    </w:p>
    <w:p w:rsidR="00362917" w:rsidRDefault="006B0237" w:rsidP="00201CE8">
      <w:pPr>
        <w:pStyle w:val="ListParagraph"/>
        <w:numPr>
          <w:ilvl w:val="0"/>
          <w:numId w:val="48"/>
        </w:numPr>
        <w:rPr>
          <w:rFonts w:ascii="Calibri" w:hAnsi="Calibri" w:cs="Calibri"/>
        </w:rPr>
      </w:pPr>
      <w:r>
        <w:rPr>
          <w:rFonts w:ascii="Calibri" w:hAnsi="Calibri" w:cs="Calibri"/>
        </w:rPr>
        <w:t xml:space="preserve">Increase </w:t>
      </w:r>
      <w:r w:rsidR="00497FA5">
        <w:rPr>
          <w:rFonts w:ascii="Calibri" w:hAnsi="Calibri" w:cs="Calibri"/>
        </w:rPr>
        <w:t xml:space="preserve">the </w:t>
      </w:r>
      <w:r>
        <w:rPr>
          <w:rFonts w:ascii="Calibri" w:hAnsi="Calibri" w:cs="Calibri"/>
        </w:rPr>
        <w:t xml:space="preserve">transparency in </w:t>
      </w:r>
      <w:r w:rsidR="00497FA5">
        <w:rPr>
          <w:rFonts w:ascii="Calibri" w:hAnsi="Calibri" w:cs="Calibri"/>
        </w:rPr>
        <w:t xml:space="preserve">the </w:t>
      </w:r>
      <w:r>
        <w:rPr>
          <w:rFonts w:ascii="Calibri" w:hAnsi="Calibri" w:cs="Calibri"/>
        </w:rPr>
        <w:t xml:space="preserve">risk management </w:t>
      </w:r>
      <w:r w:rsidR="00362917" w:rsidRPr="00461964">
        <w:rPr>
          <w:rFonts w:ascii="Calibri" w:hAnsi="Calibri" w:cs="Calibri"/>
        </w:rPr>
        <w:t>decision-making process</w:t>
      </w:r>
      <w:r w:rsidR="007515F4">
        <w:rPr>
          <w:rFonts w:ascii="Calibri" w:hAnsi="Calibri" w:cs="Calibri"/>
        </w:rPr>
        <w:t>.</w:t>
      </w:r>
    </w:p>
    <w:p w:rsidR="007515F4" w:rsidRPr="00461964" w:rsidRDefault="007515F4" w:rsidP="00201CE8">
      <w:pPr>
        <w:pStyle w:val="ListParagraph"/>
        <w:ind w:left="709"/>
        <w:rPr>
          <w:rFonts w:ascii="Calibri" w:hAnsi="Calibri" w:cs="Calibri"/>
        </w:rPr>
      </w:pPr>
    </w:p>
    <w:p w:rsidR="00AF5B20" w:rsidRDefault="00AF5B20" w:rsidP="00201CE8">
      <w:pPr>
        <w:pStyle w:val="ListParagraph"/>
        <w:numPr>
          <w:ilvl w:val="0"/>
          <w:numId w:val="48"/>
        </w:numPr>
        <w:rPr>
          <w:rFonts w:ascii="Calibri" w:hAnsi="Calibri" w:cs="Calibri"/>
        </w:rPr>
      </w:pPr>
      <w:r w:rsidRPr="00461964">
        <w:rPr>
          <w:rFonts w:ascii="Calibri" w:hAnsi="Calibri" w:cs="Calibri"/>
        </w:rPr>
        <w:t>Consider</w:t>
      </w:r>
      <w:r w:rsidR="002E1550">
        <w:rPr>
          <w:rFonts w:ascii="Calibri" w:hAnsi="Calibri" w:cs="Calibri"/>
        </w:rPr>
        <w:t>ation may be given to the establishment of a monitoring and evaluation</w:t>
      </w:r>
      <w:r w:rsidRPr="00461964">
        <w:rPr>
          <w:rFonts w:ascii="Calibri" w:hAnsi="Calibri" w:cs="Calibri"/>
        </w:rPr>
        <w:t xml:space="preserve"> framewor</w:t>
      </w:r>
      <w:r w:rsidR="002E1550">
        <w:rPr>
          <w:rFonts w:ascii="Calibri" w:hAnsi="Calibri" w:cs="Calibri"/>
        </w:rPr>
        <w:t>k for key public health issues</w:t>
      </w:r>
      <w:r w:rsidR="00077763">
        <w:rPr>
          <w:rFonts w:ascii="Calibri" w:hAnsi="Calibri" w:cs="Calibri"/>
        </w:rPr>
        <w:t>, subject to priorities and available resources</w:t>
      </w:r>
      <w:r w:rsidR="002E1550">
        <w:rPr>
          <w:rFonts w:ascii="Calibri" w:hAnsi="Calibri" w:cs="Calibri"/>
        </w:rPr>
        <w:t>.</w:t>
      </w:r>
    </w:p>
    <w:p w:rsidR="007515F4" w:rsidRPr="00201CE8" w:rsidRDefault="007515F4" w:rsidP="00201CE8">
      <w:pPr>
        <w:pStyle w:val="ListParagraph"/>
        <w:rPr>
          <w:rFonts w:ascii="Calibri" w:hAnsi="Calibri" w:cs="Calibri"/>
        </w:rPr>
      </w:pPr>
    </w:p>
    <w:p w:rsidR="00465199" w:rsidRPr="008A3A42" w:rsidRDefault="00465199" w:rsidP="00201CE8">
      <w:pPr>
        <w:pStyle w:val="ListParagraph"/>
        <w:numPr>
          <w:ilvl w:val="0"/>
          <w:numId w:val="48"/>
        </w:numPr>
        <w:rPr>
          <w:rFonts w:ascii="Calibri" w:hAnsi="Calibri" w:cs="Calibri"/>
        </w:rPr>
      </w:pPr>
      <w:r w:rsidRPr="008A3A42">
        <w:rPr>
          <w:rFonts w:ascii="Calibri" w:hAnsi="Calibri" w:cs="Calibri"/>
        </w:rPr>
        <w:t xml:space="preserve">Develop guidance on how to express uncertainty in risk assessment and for </w:t>
      </w:r>
      <w:r w:rsidR="00077763">
        <w:rPr>
          <w:rFonts w:ascii="Calibri" w:hAnsi="Calibri" w:cs="Calibri"/>
        </w:rPr>
        <w:t>proper</w:t>
      </w:r>
      <w:r w:rsidRPr="008A3A42">
        <w:rPr>
          <w:rFonts w:ascii="Calibri" w:hAnsi="Calibri" w:cs="Calibri"/>
        </w:rPr>
        <w:t xml:space="preserve"> consideration of </w:t>
      </w:r>
      <w:r w:rsidR="00077763">
        <w:rPr>
          <w:rFonts w:ascii="Calibri" w:hAnsi="Calibri" w:cs="Calibri"/>
        </w:rPr>
        <w:t>such</w:t>
      </w:r>
      <w:r w:rsidRPr="008A3A42">
        <w:rPr>
          <w:rFonts w:ascii="Calibri" w:hAnsi="Calibri" w:cs="Calibri"/>
        </w:rPr>
        <w:t xml:space="preserve"> uncertainties in the risk management decision-making process</w:t>
      </w:r>
      <w:r w:rsidR="00D35E10">
        <w:rPr>
          <w:rFonts w:ascii="Calibri" w:hAnsi="Calibri" w:cs="Calibri"/>
        </w:rPr>
        <w:t>.</w:t>
      </w:r>
    </w:p>
    <w:p w:rsidR="002D6604" w:rsidRPr="007A750D" w:rsidRDefault="002D6604" w:rsidP="003B2DBB">
      <w:pPr>
        <w:ind w:firstLine="284"/>
        <w:rPr>
          <w:b/>
          <w:bCs/>
        </w:rPr>
      </w:pPr>
    </w:p>
    <w:p w:rsidR="001431C7" w:rsidRPr="005B64E2" w:rsidRDefault="00A4253E" w:rsidP="00453355">
      <w:pPr>
        <w:pStyle w:val="Heading1"/>
      </w:pPr>
      <w:bookmarkStart w:id="97" w:name="_Toc322935547"/>
      <w:bookmarkStart w:id="98" w:name="_Toc332960032"/>
      <w:r>
        <w:t xml:space="preserve">8. </w:t>
      </w:r>
      <w:r w:rsidR="001431C7" w:rsidRPr="005B64E2">
        <w:t>Stakeholder views</w:t>
      </w:r>
      <w:bookmarkEnd w:id="97"/>
      <w:bookmarkEnd w:id="98"/>
    </w:p>
    <w:p w:rsidR="007B5A6E" w:rsidRDefault="007B5A6E" w:rsidP="00453355">
      <w:pPr>
        <w:pStyle w:val="Heading2"/>
      </w:pPr>
      <w:bookmarkStart w:id="99" w:name="_Toc322935548"/>
      <w:bookmarkStart w:id="100" w:name="_Toc332960033"/>
      <w:r>
        <w:t xml:space="preserve">8.1. States and </w:t>
      </w:r>
      <w:r w:rsidR="007515F4">
        <w:t>t</w:t>
      </w:r>
      <w:r>
        <w:t>erritories</w:t>
      </w:r>
      <w:bookmarkEnd w:id="99"/>
      <w:bookmarkEnd w:id="100"/>
      <w:r>
        <w:t xml:space="preserve"> </w:t>
      </w:r>
    </w:p>
    <w:p w:rsidR="00A4253E" w:rsidRPr="00461964" w:rsidRDefault="007515F4" w:rsidP="00201CE8">
      <w:pPr>
        <w:spacing w:before="100" w:beforeAutospacing="1" w:after="100" w:afterAutospacing="1" w:line="276" w:lineRule="auto"/>
        <w:rPr>
          <w:rFonts w:ascii="Calibri" w:hAnsi="Calibri" w:cs="Calibri"/>
        </w:rPr>
      </w:pPr>
      <w:r>
        <w:rPr>
          <w:rFonts w:ascii="Calibri" w:hAnsi="Calibri" w:cs="Calibri"/>
        </w:rPr>
        <w:t>The s</w:t>
      </w:r>
      <w:r w:rsidR="00A4253E" w:rsidRPr="00461964">
        <w:rPr>
          <w:rFonts w:ascii="Calibri" w:hAnsi="Calibri" w:cs="Calibri"/>
        </w:rPr>
        <w:t xml:space="preserve">tates and </w:t>
      </w:r>
      <w:r>
        <w:rPr>
          <w:rFonts w:ascii="Calibri" w:hAnsi="Calibri" w:cs="Calibri"/>
        </w:rPr>
        <w:t>t</w:t>
      </w:r>
      <w:r w:rsidR="00A4253E" w:rsidRPr="00461964">
        <w:rPr>
          <w:rFonts w:ascii="Calibri" w:hAnsi="Calibri" w:cs="Calibri"/>
        </w:rPr>
        <w:t>erritories</w:t>
      </w:r>
      <w:r>
        <w:rPr>
          <w:rFonts w:ascii="Calibri" w:hAnsi="Calibri" w:cs="Calibri"/>
        </w:rPr>
        <w:t xml:space="preserve"> in Australia </w:t>
      </w:r>
      <w:r w:rsidR="00A4253E" w:rsidRPr="00461964">
        <w:rPr>
          <w:rFonts w:ascii="Calibri" w:hAnsi="Calibri" w:cs="Calibri"/>
        </w:rPr>
        <w:t xml:space="preserve">are responsible for </w:t>
      </w:r>
      <w:r w:rsidRPr="00461964">
        <w:rPr>
          <w:rFonts w:ascii="Calibri" w:hAnsi="Calibri" w:cs="Calibri"/>
        </w:rPr>
        <w:t>implementing</w:t>
      </w:r>
      <w:r>
        <w:rPr>
          <w:rFonts w:ascii="Calibri" w:hAnsi="Calibri" w:cs="Calibri"/>
        </w:rPr>
        <w:t xml:space="preserve"> t</w:t>
      </w:r>
      <w:r w:rsidR="00A4253E" w:rsidRPr="00461964">
        <w:rPr>
          <w:rFonts w:ascii="Calibri" w:hAnsi="Calibri" w:cs="Calibri"/>
        </w:rPr>
        <w:t>he Code</w:t>
      </w:r>
      <w:r>
        <w:rPr>
          <w:rFonts w:ascii="Calibri" w:hAnsi="Calibri" w:cs="Calibri"/>
        </w:rPr>
        <w:t xml:space="preserve"> (note: NZ MPI is responsible for implementing joint standards in New Zealand but not all standards are joint standards)</w:t>
      </w:r>
      <w:r w:rsidR="00A4253E" w:rsidRPr="00461964">
        <w:rPr>
          <w:rFonts w:ascii="Calibri" w:hAnsi="Calibri" w:cs="Calibri"/>
        </w:rPr>
        <w:t xml:space="preserve">. </w:t>
      </w:r>
      <w:r>
        <w:rPr>
          <w:rFonts w:ascii="Calibri" w:hAnsi="Calibri" w:cs="Calibri"/>
        </w:rPr>
        <w:t xml:space="preserve"> A</w:t>
      </w:r>
      <w:r w:rsidR="00A4253E" w:rsidRPr="00461964">
        <w:rPr>
          <w:rFonts w:ascii="Calibri" w:hAnsi="Calibri" w:cs="Calibri"/>
        </w:rPr>
        <w:t xml:space="preserve"> workshop was organized to </w:t>
      </w:r>
      <w:r w:rsidR="00497FA5">
        <w:rPr>
          <w:rFonts w:ascii="Calibri" w:hAnsi="Calibri" w:cs="Calibri"/>
        </w:rPr>
        <w:t>obtain</w:t>
      </w:r>
      <w:r w:rsidR="00A4253E" w:rsidRPr="00461964">
        <w:rPr>
          <w:rFonts w:ascii="Calibri" w:hAnsi="Calibri" w:cs="Calibri"/>
        </w:rPr>
        <w:t xml:space="preserve"> the views </w:t>
      </w:r>
      <w:r>
        <w:rPr>
          <w:rFonts w:ascii="Calibri" w:hAnsi="Calibri" w:cs="Calibri"/>
        </w:rPr>
        <w:t xml:space="preserve">of states and territories </w:t>
      </w:r>
      <w:r w:rsidR="00A4253E" w:rsidRPr="00461964">
        <w:rPr>
          <w:rFonts w:ascii="Calibri" w:hAnsi="Calibri" w:cs="Calibri"/>
        </w:rPr>
        <w:t>on FSANZ risk assessment process</w:t>
      </w:r>
      <w:r w:rsidR="00EE109A">
        <w:rPr>
          <w:rFonts w:ascii="Calibri" w:hAnsi="Calibri" w:cs="Calibri"/>
        </w:rPr>
        <w:t>es</w:t>
      </w:r>
      <w:r w:rsidR="00A4253E" w:rsidRPr="00461964">
        <w:rPr>
          <w:rFonts w:ascii="Calibri" w:hAnsi="Calibri" w:cs="Calibri"/>
        </w:rPr>
        <w:t xml:space="preserve"> and procedures. Of the six states and two territories</w:t>
      </w:r>
      <w:r w:rsidR="007F6D6D">
        <w:rPr>
          <w:rFonts w:ascii="Calibri" w:hAnsi="Calibri" w:cs="Calibri"/>
        </w:rPr>
        <w:t>,</w:t>
      </w:r>
      <w:r w:rsidR="00A4253E" w:rsidRPr="00461964">
        <w:rPr>
          <w:rFonts w:ascii="Calibri" w:hAnsi="Calibri" w:cs="Calibri"/>
        </w:rPr>
        <w:t xml:space="preserve"> three (Victoria, NSW, Western Territory) were able to participate.</w:t>
      </w:r>
    </w:p>
    <w:p w:rsidR="00A4253E" w:rsidRPr="00461964" w:rsidRDefault="00A4253E" w:rsidP="00201CE8">
      <w:pPr>
        <w:spacing w:before="100" w:beforeAutospacing="1" w:after="100" w:afterAutospacing="1" w:line="276" w:lineRule="auto"/>
        <w:rPr>
          <w:rFonts w:ascii="Calibri" w:hAnsi="Calibri" w:cs="Calibri"/>
        </w:rPr>
      </w:pPr>
      <w:r w:rsidRPr="00461964">
        <w:rPr>
          <w:rFonts w:ascii="Calibri" w:hAnsi="Calibri" w:cs="Calibri"/>
        </w:rPr>
        <w:t>FSANZ risk assessment work was s</w:t>
      </w:r>
      <w:r w:rsidR="006D7770">
        <w:rPr>
          <w:rFonts w:ascii="Calibri" w:hAnsi="Calibri" w:cs="Calibri"/>
        </w:rPr>
        <w:t>een as significantly improved</w:t>
      </w:r>
      <w:r w:rsidR="007515F4">
        <w:rPr>
          <w:rFonts w:ascii="Calibri" w:hAnsi="Calibri" w:cs="Calibri"/>
        </w:rPr>
        <w:t>, with t</w:t>
      </w:r>
      <w:r w:rsidR="006D7770">
        <w:rPr>
          <w:rFonts w:ascii="Calibri" w:hAnsi="Calibri" w:cs="Calibri"/>
        </w:rPr>
        <w:t>he b</w:t>
      </w:r>
      <w:r w:rsidRPr="00461964">
        <w:rPr>
          <w:rFonts w:ascii="Calibri" w:hAnsi="Calibri" w:cs="Calibri"/>
        </w:rPr>
        <w:t xml:space="preserve">iggest </w:t>
      </w:r>
      <w:r w:rsidR="007515F4" w:rsidRPr="00461964">
        <w:rPr>
          <w:rFonts w:ascii="Calibri" w:hAnsi="Calibri" w:cs="Calibri"/>
        </w:rPr>
        <w:t>improvement</w:t>
      </w:r>
      <w:r w:rsidR="007515F4">
        <w:rPr>
          <w:rFonts w:ascii="Calibri" w:hAnsi="Calibri" w:cs="Calibri"/>
        </w:rPr>
        <w:t xml:space="preserve"> </w:t>
      </w:r>
      <w:r w:rsidRPr="00461964">
        <w:rPr>
          <w:rFonts w:ascii="Calibri" w:hAnsi="Calibri" w:cs="Calibri"/>
        </w:rPr>
        <w:t xml:space="preserve">in </w:t>
      </w:r>
      <w:r w:rsidR="007515F4">
        <w:rPr>
          <w:rFonts w:ascii="Calibri" w:hAnsi="Calibri" w:cs="Calibri"/>
        </w:rPr>
        <w:t xml:space="preserve">providing </w:t>
      </w:r>
      <w:r w:rsidRPr="00461964">
        <w:rPr>
          <w:rFonts w:ascii="Calibri" w:hAnsi="Calibri" w:cs="Calibri"/>
        </w:rPr>
        <w:t xml:space="preserve">advice in incidents and for rapid risk assessments, i.e. being more responsive to </w:t>
      </w:r>
      <w:r w:rsidR="00497FA5">
        <w:rPr>
          <w:rFonts w:ascii="Calibri" w:hAnsi="Calibri" w:cs="Calibri"/>
        </w:rPr>
        <w:t>urgent</w:t>
      </w:r>
      <w:r w:rsidR="001F2EAE">
        <w:rPr>
          <w:rFonts w:ascii="Calibri" w:hAnsi="Calibri" w:cs="Calibri"/>
        </w:rPr>
        <w:t xml:space="preserve"> </w:t>
      </w:r>
      <w:r w:rsidRPr="00461964">
        <w:rPr>
          <w:rFonts w:ascii="Calibri" w:hAnsi="Calibri" w:cs="Calibri"/>
        </w:rPr>
        <w:t>needs. Moreover the format and language in rapid risk assessments has improved, and is seen as more helpful, leaving more ‘decision-space’ for risk management implementati</w:t>
      </w:r>
      <w:r w:rsidR="006D7770">
        <w:rPr>
          <w:rFonts w:ascii="Calibri" w:hAnsi="Calibri" w:cs="Calibri"/>
        </w:rPr>
        <w:t>on. With respect to regular risk assessments</w:t>
      </w:r>
      <w:r w:rsidRPr="00461964">
        <w:rPr>
          <w:rFonts w:ascii="Calibri" w:hAnsi="Calibri" w:cs="Calibri"/>
        </w:rPr>
        <w:t xml:space="preserve">, the openness of the process was seen </w:t>
      </w:r>
      <w:r w:rsidR="00497FA5">
        <w:rPr>
          <w:rFonts w:ascii="Calibri" w:hAnsi="Calibri" w:cs="Calibri"/>
        </w:rPr>
        <w:t xml:space="preserve">as </w:t>
      </w:r>
      <w:r w:rsidRPr="00461964">
        <w:rPr>
          <w:rFonts w:ascii="Calibri" w:hAnsi="Calibri" w:cs="Calibri"/>
        </w:rPr>
        <w:t xml:space="preserve">positive, i.e. </w:t>
      </w:r>
      <w:r w:rsidR="007515F4">
        <w:rPr>
          <w:rFonts w:ascii="Calibri" w:hAnsi="Calibri" w:cs="Calibri"/>
        </w:rPr>
        <w:t>j</w:t>
      </w:r>
      <w:r w:rsidRPr="00461964">
        <w:rPr>
          <w:rFonts w:ascii="Calibri" w:hAnsi="Calibri" w:cs="Calibri"/>
        </w:rPr>
        <w:t>urisdictions can give i</w:t>
      </w:r>
      <w:r w:rsidR="00410A33">
        <w:rPr>
          <w:rFonts w:ascii="Calibri" w:hAnsi="Calibri" w:cs="Calibri"/>
        </w:rPr>
        <w:t xml:space="preserve">nput during </w:t>
      </w:r>
      <w:r w:rsidR="002055B4">
        <w:rPr>
          <w:rFonts w:ascii="Calibri" w:hAnsi="Calibri" w:cs="Calibri"/>
        </w:rPr>
        <w:t xml:space="preserve">the </w:t>
      </w:r>
      <w:r w:rsidR="00410A33">
        <w:rPr>
          <w:rFonts w:ascii="Calibri" w:hAnsi="Calibri" w:cs="Calibri"/>
        </w:rPr>
        <w:t xml:space="preserve">peer review period. </w:t>
      </w:r>
      <w:r w:rsidRPr="00461964">
        <w:rPr>
          <w:rFonts w:ascii="Calibri" w:hAnsi="Calibri" w:cs="Calibri"/>
        </w:rPr>
        <w:t>With respect to the risk assessment reports</w:t>
      </w:r>
      <w:r w:rsidR="00497FA5">
        <w:rPr>
          <w:rFonts w:ascii="Calibri" w:hAnsi="Calibri" w:cs="Calibri"/>
        </w:rPr>
        <w:t>,</w:t>
      </w:r>
      <w:r w:rsidRPr="00461964">
        <w:rPr>
          <w:rFonts w:ascii="Calibri" w:hAnsi="Calibri" w:cs="Calibri"/>
        </w:rPr>
        <w:t xml:space="preserve"> it was noted that not too much </w:t>
      </w:r>
      <w:r w:rsidR="004729DB">
        <w:rPr>
          <w:rFonts w:ascii="Calibri" w:hAnsi="Calibri" w:cs="Calibri"/>
        </w:rPr>
        <w:t>less relevant</w:t>
      </w:r>
      <w:r w:rsidR="007515F4">
        <w:rPr>
          <w:rFonts w:ascii="Calibri" w:hAnsi="Calibri" w:cs="Calibri"/>
        </w:rPr>
        <w:t xml:space="preserve"> </w:t>
      </w:r>
      <w:r w:rsidRPr="00461964">
        <w:rPr>
          <w:rFonts w:ascii="Calibri" w:hAnsi="Calibri" w:cs="Calibri"/>
        </w:rPr>
        <w:t xml:space="preserve">detail should be provided </w:t>
      </w:r>
      <w:r w:rsidR="007515F4">
        <w:rPr>
          <w:rFonts w:ascii="Calibri" w:hAnsi="Calibri" w:cs="Calibri"/>
        </w:rPr>
        <w:t xml:space="preserve">that </w:t>
      </w:r>
      <w:r w:rsidRPr="00461964">
        <w:rPr>
          <w:rFonts w:ascii="Calibri" w:hAnsi="Calibri" w:cs="Calibri"/>
        </w:rPr>
        <w:t>may create unnecessary concern (e.g. description of toxicity study showing effects which are then dismissed for valid scientific reasons</w:t>
      </w:r>
      <w:r w:rsidR="007515F4">
        <w:rPr>
          <w:rFonts w:ascii="Calibri" w:hAnsi="Calibri" w:cs="Calibri"/>
        </w:rPr>
        <w:t>)</w:t>
      </w:r>
      <w:r w:rsidRPr="00461964">
        <w:rPr>
          <w:rFonts w:ascii="Calibri" w:hAnsi="Calibri" w:cs="Calibri"/>
        </w:rPr>
        <w:t xml:space="preserve">. These details should be in detailed </w:t>
      </w:r>
      <w:r w:rsidR="007515F4">
        <w:rPr>
          <w:rFonts w:ascii="Calibri" w:hAnsi="Calibri" w:cs="Calibri"/>
        </w:rPr>
        <w:t>r</w:t>
      </w:r>
      <w:r w:rsidR="00497FA5">
        <w:rPr>
          <w:rFonts w:ascii="Calibri" w:hAnsi="Calibri" w:cs="Calibri"/>
        </w:rPr>
        <w:t xml:space="preserve">isk </w:t>
      </w:r>
      <w:r w:rsidR="007515F4">
        <w:rPr>
          <w:rFonts w:ascii="Calibri" w:hAnsi="Calibri" w:cs="Calibri"/>
        </w:rPr>
        <w:t>a</w:t>
      </w:r>
      <w:r w:rsidR="00497FA5">
        <w:rPr>
          <w:rFonts w:ascii="Calibri" w:hAnsi="Calibri" w:cs="Calibri"/>
        </w:rPr>
        <w:t>ssessment</w:t>
      </w:r>
      <w:r w:rsidRPr="00461964">
        <w:rPr>
          <w:rFonts w:ascii="Calibri" w:hAnsi="Calibri" w:cs="Calibri"/>
        </w:rPr>
        <w:t xml:space="preserve"> report, but not in summary. It is important to communicate the outcome of the risk assessments in a way that it can be used in the legal framework.</w:t>
      </w:r>
    </w:p>
    <w:p w:rsidR="00A4253E" w:rsidRPr="00461964" w:rsidRDefault="00A4253E" w:rsidP="00201CE8">
      <w:pPr>
        <w:spacing w:before="100" w:beforeAutospacing="1" w:after="100" w:afterAutospacing="1" w:line="276" w:lineRule="auto"/>
        <w:rPr>
          <w:rFonts w:ascii="Calibri" w:hAnsi="Calibri" w:cs="Calibri"/>
        </w:rPr>
      </w:pPr>
      <w:r w:rsidRPr="00461964">
        <w:rPr>
          <w:rFonts w:ascii="Calibri" w:hAnsi="Calibri" w:cs="Calibri"/>
        </w:rPr>
        <w:t xml:space="preserve">Regarding work efficiencies, it was supported </w:t>
      </w:r>
      <w:r w:rsidR="00E95B7B">
        <w:rPr>
          <w:rFonts w:ascii="Calibri" w:hAnsi="Calibri" w:cs="Calibri"/>
        </w:rPr>
        <w:t xml:space="preserve">in-principle </w:t>
      </w:r>
      <w:r w:rsidRPr="00461964">
        <w:rPr>
          <w:rFonts w:ascii="Calibri" w:hAnsi="Calibri" w:cs="Calibri"/>
        </w:rPr>
        <w:t xml:space="preserve">that FSANZ could build </w:t>
      </w:r>
      <w:r w:rsidR="001F2EAE">
        <w:rPr>
          <w:rFonts w:ascii="Calibri" w:hAnsi="Calibri" w:cs="Calibri"/>
        </w:rPr>
        <w:t>it</w:t>
      </w:r>
      <w:r w:rsidR="00497FA5">
        <w:rPr>
          <w:rFonts w:ascii="Calibri" w:hAnsi="Calibri" w:cs="Calibri"/>
        </w:rPr>
        <w:t>s</w:t>
      </w:r>
      <w:r w:rsidRPr="00461964">
        <w:rPr>
          <w:rFonts w:ascii="Calibri" w:hAnsi="Calibri" w:cs="Calibri"/>
        </w:rPr>
        <w:t xml:space="preserve"> risk assessments on existing national and international assessments, however this needs to be done in a tiered approach, and targeted to the type of hazard (i.e. the lower </w:t>
      </w:r>
      <w:r w:rsidR="001C1F75">
        <w:rPr>
          <w:rFonts w:ascii="Calibri" w:hAnsi="Calibri" w:cs="Calibri"/>
        </w:rPr>
        <w:t>the concern the more existing ri</w:t>
      </w:r>
      <w:r w:rsidRPr="00461964">
        <w:rPr>
          <w:rFonts w:ascii="Calibri" w:hAnsi="Calibri" w:cs="Calibri"/>
        </w:rPr>
        <w:t>s</w:t>
      </w:r>
      <w:r w:rsidR="001C1F75">
        <w:rPr>
          <w:rFonts w:ascii="Calibri" w:hAnsi="Calibri" w:cs="Calibri"/>
        </w:rPr>
        <w:t>k assessments</w:t>
      </w:r>
      <w:r w:rsidRPr="00461964">
        <w:rPr>
          <w:rFonts w:ascii="Calibri" w:hAnsi="Calibri" w:cs="Calibri"/>
        </w:rPr>
        <w:t xml:space="preserve"> should be used).  It was noted, however, that for risk benefit assessments a more </w:t>
      </w:r>
      <w:r w:rsidRPr="00461964">
        <w:rPr>
          <w:rFonts w:ascii="Calibri" w:hAnsi="Calibri" w:cs="Calibri"/>
        </w:rPr>
        <w:lastRenderedPageBreak/>
        <w:t>national rather than international approach may be requ</w:t>
      </w:r>
      <w:r w:rsidR="001C1F75">
        <w:rPr>
          <w:rFonts w:ascii="Calibri" w:hAnsi="Calibri" w:cs="Calibri"/>
        </w:rPr>
        <w:t>ired (i.e. different dietary ha</w:t>
      </w:r>
      <w:r w:rsidRPr="00461964">
        <w:rPr>
          <w:rFonts w:ascii="Calibri" w:hAnsi="Calibri" w:cs="Calibri"/>
        </w:rPr>
        <w:t xml:space="preserve">bits, production methods etc.). </w:t>
      </w:r>
    </w:p>
    <w:p w:rsidR="00A4253E" w:rsidRPr="00461964" w:rsidRDefault="00A4253E" w:rsidP="00201CE8">
      <w:pPr>
        <w:spacing w:before="100" w:beforeAutospacing="1" w:after="100" w:afterAutospacing="1" w:line="276" w:lineRule="auto"/>
        <w:rPr>
          <w:rFonts w:ascii="Calibri" w:hAnsi="Calibri" w:cs="Calibri"/>
        </w:rPr>
      </w:pPr>
      <w:r w:rsidRPr="007515F4">
        <w:rPr>
          <w:rFonts w:ascii="Calibri" w:hAnsi="Calibri" w:cs="Calibri"/>
        </w:rPr>
        <w:t xml:space="preserve">In relation to </w:t>
      </w:r>
      <w:r w:rsidR="007515F4">
        <w:rPr>
          <w:rFonts w:ascii="Calibri" w:hAnsi="Calibri" w:cs="Calibri"/>
        </w:rPr>
        <w:t>integrating</w:t>
      </w:r>
      <w:r w:rsidR="00A457FE" w:rsidRPr="007515F4">
        <w:rPr>
          <w:rFonts w:ascii="Calibri" w:hAnsi="Calibri" w:cs="Calibri"/>
        </w:rPr>
        <w:t xml:space="preserve"> the different risk assessment</w:t>
      </w:r>
      <w:r w:rsidRPr="007515F4">
        <w:rPr>
          <w:rFonts w:ascii="Calibri" w:hAnsi="Calibri" w:cs="Calibri"/>
        </w:rPr>
        <w:t xml:space="preserve"> disciplin</w:t>
      </w:r>
      <w:r w:rsidR="00A457FE" w:rsidRPr="007515F4">
        <w:rPr>
          <w:rFonts w:ascii="Calibri" w:hAnsi="Calibri" w:cs="Calibri"/>
        </w:rPr>
        <w:t>es, it was noted that</w:t>
      </w:r>
      <w:r w:rsidR="00A457FE">
        <w:rPr>
          <w:rFonts w:ascii="Calibri" w:hAnsi="Calibri" w:cs="Calibri"/>
        </w:rPr>
        <w:t xml:space="preserve"> combined risk assessment</w:t>
      </w:r>
      <w:r w:rsidRPr="00461964">
        <w:rPr>
          <w:rFonts w:ascii="Calibri" w:hAnsi="Calibri" w:cs="Calibri"/>
        </w:rPr>
        <w:t xml:space="preserve"> reports have greatly improved in structure and level of detail, but there is room for further improvement, such as consistency between sections, </w:t>
      </w:r>
      <w:r w:rsidR="00497FA5">
        <w:rPr>
          <w:rFonts w:ascii="Calibri" w:hAnsi="Calibri" w:cs="Calibri"/>
        </w:rPr>
        <w:t xml:space="preserve">and a </w:t>
      </w:r>
      <w:r w:rsidRPr="00461964">
        <w:rPr>
          <w:rFonts w:ascii="Calibri" w:hAnsi="Calibri" w:cs="Calibri"/>
        </w:rPr>
        <w:t xml:space="preserve">more plain language summary that could be used directly for communication purposes, thereby reducing </w:t>
      </w:r>
      <w:r w:rsidR="00497FA5">
        <w:rPr>
          <w:rFonts w:ascii="Calibri" w:hAnsi="Calibri" w:cs="Calibri"/>
        </w:rPr>
        <w:t xml:space="preserve">the </w:t>
      </w:r>
      <w:r w:rsidRPr="00461964">
        <w:rPr>
          <w:rFonts w:ascii="Calibri" w:hAnsi="Calibri" w:cs="Calibri"/>
        </w:rPr>
        <w:t xml:space="preserve">risk of ‘distortion’ of </w:t>
      </w:r>
      <w:r w:rsidR="00497FA5">
        <w:rPr>
          <w:rFonts w:ascii="Calibri" w:hAnsi="Calibri" w:cs="Calibri"/>
        </w:rPr>
        <w:t xml:space="preserve">the </w:t>
      </w:r>
      <w:r w:rsidRPr="00461964">
        <w:rPr>
          <w:rFonts w:ascii="Calibri" w:hAnsi="Calibri" w:cs="Calibri"/>
        </w:rPr>
        <w:t xml:space="preserve">original message. </w:t>
      </w:r>
    </w:p>
    <w:p w:rsidR="00A4253E" w:rsidRPr="00461964" w:rsidRDefault="00A4253E" w:rsidP="00201CE8">
      <w:pPr>
        <w:spacing w:before="100" w:beforeAutospacing="1" w:after="100" w:afterAutospacing="1" w:line="276" w:lineRule="auto"/>
        <w:rPr>
          <w:rFonts w:ascii="Calibri" w:hAnsi="Calibri" w:cs="Calibri"/>
        </w:rPr>
      </w:pPr>
      <w:r w:rsidRPr="00461964">
        <w:rPr>
          <w:rFonts w:ascii="Calibri" w:hAnsi="Calibri" w:cs="Calibri"/>
        </w:rPr>
        <w:t xml:space="preserve">Communication flow between FSANZ and the </w:t>
      </w:r>
      <w:r w:rsidR="00E95B7B">
        <w:rPr>
          <w:rFonts w:ascii="Calibri" w:hAnsi="Calibri" w:cs="Calibri"/>
        </w:rPr>
        <w:t>j</w:t>
      </w:r>
      <w:r w:rsidRPr="00461964">
        <w:rPr>
          <w:rFonts w:ascii="Calibri" w:hAnsi="Calibri" w:cs="Calibri"/>
        </w:rPr>
        <w:t xml:space="preserve">urisdictions is seen as satisfactory. However it was noted that the </w:t>
      </w:r>
      <w:r w:rsidR="00E95B7B">
        <w:rPr>
          <w:rFonts w:ascii="Calibri" w:hAnsi="Calibri" w:cs="Calibri"/>
        </w:rPr>
        <w:t>j</w:t>
      </w:r>
      <w:r w:rsidRPr="00461964">
        <w:rPr>
          <w:rFonts w:ascii="Calibri" w:hAnsi="Calibri" w:cs="Calibri"/>
        </w:rPr>
        <w:t xml:space="preserve">urisdictions need to better embrace the networking idea and share information to avoid duplication of efforts. </w:t>
      </w:r>
    </w:p>
    <w:p w:rsidR="00A4253E" w:rsidRPr="00461964" w:rsidRDefault="00A4253E" w:rsidP="00201CE8">
      <w:pPr>
        <w:spacing w:before="100" w:beforeAutospacing="1" w:after="100" w:afterAutospacing="1" w:line="276" w:lineRule="auto"/>
        <w:rPr>
          <w:rFonts w:ascii="Calibri" w:hAnsi="Calibri" w:cs="Calibri"/>
        </w:rPr>
      </w:pPr>
      <w:r w:rsidRPr="00461964">
        <w:rPr>
          <w:rFonts w:ascii="Calibri" w:hAnsi="Calibri" w:cs="Calibri"/>
        </w:rPr>
        <w:t>For potential improvements</w:t>
      </w:r>
      <w:r w:rsidR="00497FA5">
        <w:rPr>
          <w:rFonts w:ascii="Calibri" w:hAnsi="Calibri" w:cs="Calibri"/>
        </w:rPr>
        <w:t>,</w:t>
      </w:r>
      <w:r w:rsidRPr="00461964">
        <w:rPr>
          <w:rFonts w:ascii="Calibri" w:hAnsi="Calibri" w:cs="Calibri"/>
        </w:rPr>
        <w:t xml:space="preserve"> it was suggested </w:t>
      </w:r>
      <w:r w:rsidR="007515F4">
        <w:rPr>
          <w:rFonts w:ascii="Calibri" w:hAnsi="Calibri" w:cs="Calibri"/>
        </w:rPr>
        <w:t>that</w:t>
      </w:r>
      <w:r w:rsidRPr="00461964">
        <w:rPr>
          <w:rFonts w:ascii="Calibri" w:hAnsi="Calibri" w:cs="Calibri"/>
        </w:rPr>
        <w:t xml:space="preserve"> ways </w:t>
      </w:r>
      <w:r w:rsidR="007515F4">
        <w:rPr>
          <w:rFonts w:ascii="Calibri" w:hAnsi="Calibri" w:cs="Calibri"/>
        </w:rPr>
        <w:t xml:space="preserve">be explored </w:t>
      </w:r>
      <w:r w:rsidRPr="00461964">
        <w:rPr>
          <w:rFonts w:ascii="Calibri" w:hAnsi="Calibri" w:cs="Calibri"/>
        </w:rPr>
        <w:t xml:space="preserve">to make the risk assessments more easily accessible, also outside the original context, since they could be of broader use (e.g. </w:t>
      </w:r>
      <w:r w:rsidR="00497FA5">
        <w:rPr>
          <w:rFonts w:ascii="Calibri" w:hAnsi="Calibri" w:cs="Calibri"/>
        </w:rPr>
        <w:t xml:space="preserve">an </w:t>
      </w:r>
      <w:r w:rsidRPr="00461964">
        <w:rPr>
          <w:rFonts w:ascii="Calibri" w:hAnsi="Calibri" w:cs="Calibri"/>
        </w:rPr>
        <w:t xml:space="preserve">assessment in response to </w:t>
      </w:r>
      <w:r w:rsidR="00497FA5">
        <w:rPr>
          <w:rFonts w:ascii="Calibri" w:hAnsi="Calibri" w:cs="Calibri"/>
        </w:rPr>
        <w:t xml:space="preserve">a </w:t>
      </w:r>
      <w:r w:rsidRPr="00461964">
        <w:rPr>
          <w:rFonts w:ascii="Calibri" w:hAnsi="Calibri" w:cs="Calibri"/>
        </w:rPr>
        <w:t>specific application could be of use in other circumstances).</w:t>
      </w:r>
    </w:p>
    <w:p w:rsidR="00A4253E" w:rsidRDefault="00A4253E" w:rsidP="00201CE8">
      <w:pPr>
        <w:spacing w:before="100" w:beforeAutospacing="1" w:after="100" w:afterAutospacing="1" w:line="276" w:lineRule="auto"/>
        <w:rPr>
          <w:rFonts w:ascii="Calibri" w:hAnsi="Calibri" w:cs="Calibri"/>
        </w:rPr>
      </w:pPr>
      <w:r w:rsidRPr="00461964">
        <w:rPr>
          <w:rFonts w:ascii="Calibri" w:hAnsi="Calibri" w:cs="Calibri"/>
        </w:rPr>
        <w:t xml:space="preserve">An area of concern is the potential huge staff drain to respond to </w:t>
      </w:r>
      <w:r w:rsidRPr="00201CE8">
        <w:rPr>
          <w:rFonts w:ascii="Calibri" w:hAnsi="Calibri" w:cs="Calibri"/>
        </w:rPr>
        <w:t>ad hoc</w:t>
      </w:r>
      <w:r w:rsidRPr="00461964">
        <w:rPr>
          <w:rFonts w:ascii="Calibri" w:hAnsi="Calibri" w:cs="Calibri"/>
        </w:rPr>
        <w:t xml:space="preserve"> requests for risk assessments from jurisdictions. There is no formalized process for this, and sometimes there are problems with insufficient information a</w:t>
      </w:r>
      <w:r w:rsidR="007B5F61">
        <w:rPr>
          <w:rFonts w:ascii="Calibri" w:hAnsi="Calibri" w:cs="Calibri"/>
        </w:rPr>
        <w:t>nd data provided to perform a risk assessment</w:t>
      </w:r>
      <w:r w:rsidRPr="00461964">
        <w:rPr>
          <w:rFonts w:ascii="Calibri" w:hAnsi="Calibri" w:cs="Calibri"/>
        </w:rPr>
        <w:t xml:space="preserve"> (e.g. quality of data provided by states </w:t>
      </w:r>
      <w:r w:rsidR="0063438F">
        <w:rPr>
          <w:rFonts w:ascii="Calibri" w:hAnsi="Calibri" w:cs="Calibri"/>
        </w:rPr>
        <w:t xml:space="preserve">is </w:t>
      </w:r>
      <w:r w:rsidRPr="00461964">
        <w:rPr>
          <w:rFonts w:ascii="Calibri" w:hAnsi="Calibri" w:cs="Calibri"/>
        </w:rPr>
        <w:t xml:space="preserve">sometimes too limited, or </w:t>
      </w:r>
      <w:r w:rsidR="007505CA">
        <w:rPr>
          <w:rFonts w:ascii="Calibri" w:hAnsi="Calibri" w:cs="Calibri"/>
        </w:rPr>
        <w:t>being provided</w:t>
      </w:r>
      <w:r w:rsidRPr="00461964">
        <w:rPr>
          <w:rFonts w:ascii="Calibri" w:hAnsi="Calibri" w:cs="Calibri"/>
        </w:rPr>
        <w:t xml:space="preserve"> in </w:t>
      </w:r>
      <w:r w:rsidR="007505CA">
        <w:rPr>
          <w:rFonts w:ascii="Calibri" w:hAnsi="Calibri" w:cs="Calibri"/>
        </w:rPr>
        <w:t>different sets while the risk assessment</w:t>
      </w:r>
      <w:r w:rsidRPr="00461964">
        <w:rPr>
          <w:rFonts w:ascii="Calibri" w:hAnsi="Calibri" w:cs="Calibri"/>
        </w:rPr>
        <w:t xml:space="preserve"> is ongoing). A more formal approach for such requests would be clearly beneficial, to guide the requester on what information needs to be provided, but also to help FSANZ to frame and prioritize such requests</w:t>
      </w:r>
      <w:r w:rsidR="007505CA">
        <w:rPr>
          <w:rFonts w:ascii="Calibri" w:hAnsi="Calibri" w:cs="Calibri"/>
        </w:rPr>
        <w:t>.</w:t>
      </w:r>
    </w:p>
    <w:p w:rsidR="00A4253E" w:rsidRPr="00461964" w:rsidRDefault="00A4253E" w:rsidP="00201CE8">
      <w:pPr>
        <w:spacing w:line="240" w:lineRule="auto"/>
        <w:rPr>
          <w:rFonts w:ascii="Calibri" w:hAnsi="Calibri" w:cs="Calibri"/>
        </w:rPr>
      </w:pPr>
      <w:r w:rsidRPr="00461964">
        <w:rPr>
          <w:rFonts w:ascii="Calibri" w:hAnsi="Calibri" w:cs="Calibri"/>
        </w:rPr>
        <w:t>Overall the jurisdictions are very satisfied with FSANZ</w:t>
      </w:r>
      <w:r w:rsidR="0063438F">
        <w:rPr>
          <w:rFonts w:ascii="Calibri" w:hAnsi="Calibri" w:cs="Calibri"/>
        </w:rPr>
        <w:t>’s</w:t>
      </w:r>
      <w:r w:rsidRPr="00461964">
        <w:rPr>
          <w:rFonts w:ascii="Calibri" w:hAnsi="Calibri" w:cs="Calibri"/>
        </w:rPr>
        <w:t xml:space="preserve"> risk assessment work. Some areas for improvement have been detailed in the text above. FSANZ</w:t>
      </w:r>
      <w:r w:rsidR="005D4B76">
        <w:rPr>
          <w:rFonts w:ascii="Calibri" w:hAnsi="Calibri" w:cs="Calibri"/>
        </w:rPr>
        <w:t xml:space="preserve"> is seen as an independent body</w:t>
      </w:r>
      <w:r w:rsidRPr="00461964">
        <w:rPr>
          <w:rFonts w:ascii="Calibri" w:hAnsi="Calibri" w:cs="Calibri"/>
        </w:rPr>
        <w:t xml:space="preserve"> by the jurisdictions. This can be important when communicating risk management measures, by </w:t>
      </w:r>
      <w:r w:rsidR="0063438F">
        <w:rPr>
          <w:rFonts w:ascii="Calibri" w:hAnsi="Calibri" w:cs="Calibri"/>
        </w:rPr>
        <w:t>relaying</w:t>
      </w:r>
      <w:r w:rsidRPr="00461964">
        <w:rPr>
          <w:rFonts w:ascii="Calibri" w:hAnsi="Calibri" w:cs="Calibri"/>
        </w:rPr>
        <w:t xml:space="preserve"> that actions are based on advice from an independent expert body. </w:t>
      </w:r>
    </w:p>
    <w:p w:rsidR="00A4253E" w:rsidRPr="00EE7C11" w:rsidRDefault="004244BA" w:rsidP="00453355">
      <w:pPr>
        <w:pStyle w:val="Heading3"/>
      </w:pPr>
      <w:bookmarkStart w:id="101" w:name="_Toc332960034"/>
      <w:r w:rsidRPr="004244BA">
        <w:t xml:space="preserve">8.1.1. </w:t>
      </w:r>
      <w:r w:rsidR="00A4253E" w:rsidRPr="004244BA">
        <w:t>Recommendation</w:t>
      </w:r>
      <w:r w:rsidR="00EE7C11" w:rsidRPr="004244BA">
        <w:t xml:space="preserve"> resulting from discussions with stakeholders</w:t>
      </w:r>
      <w:bookmarkEnd w:id="101"/>
    </w:p>
    <w:p w:rsidR="00A4253E" w:rsidRPr="006104EA" w:rsidRDefault="00A4253E" w:rsidP="00201CE8">
      <w:pPr>
        <w:pStyle w:val="ListParagraph"/>
        <w:numPr>
          <w:ilvl w:val="0"/>
          <w:numId w:val="49"/>
        </w:numPr>
        <w:rPr>
          <w:rFonts w:ascii="Calibri" w:hAnsi="Calibri" w:cs="Calibri"/>
        </w:rPr>
      </w:pPr>
      <w:r w:rsidRPr="006B4F00">
        <w:rPr>
          <w:rFonts w:ascii="Calibri" w:hAnsi="Calibri" w:cs="Calibri"/>
        </w:rPr>
        <w:t>Establish</w:t>
      </w:r>
      <w:r w:rsidR="00E95B7B">
        <w:rPr>
          <w:rFonts w:ascii="Calibri" w:hAnsi="Calibri" w:cs="Calibri"/>
        </w:rPr>
        <w:t xml:space="preserve"> a simple</w:t>
      </w:r>
      <w:r w:rsidRPr="006B4F00">
        <w:rPr>
          <w:rFonts w:ascii="Calibri" w:hAnsi="Calibri" w:cs="Calibri"/>
        </w:rPr>
        <w:t xml:space="preserve"> ‘scoping/request’ form to require </w:t>
      </w:r>
      <w:r w:rsidR="00E95B7B">
        <w:rPr>
          <w:rFonts w:ascii="Calibri" w:hAnsi="Calibri" w:cs="Calibri"/>
        </w:rPr>
        <w:t xml:space="preserve">the </w:t>
      </w:r>
      <w:r w:rsidRPr="006B4F00">
        <w:rPr>
          <w:rFonts w:ascii="Calibri" w:hAnsi="Calibri" w:cs="Calibri"/>
        </w:rPr>
        <w:t>requester</w:t>
      </w:r>
      <w:r w:rsidR="00256FBE">
        <w:rPr>
          <w:rFonts w:ascii="Calibri" w:hAnsi="Calibri" w:cs="Calibri"/>
        </w:rPr>
        <w:t xml:space="preserve">, for example, Australian </w:t>
      </w:r>
      <w:r w:rsidR="00C06853">
        <w:rPr>
          <w:rFonts w:ascii="Calibri" w:hAnsi="Calibri" w:cs="Calibri"/>
        </w:rPr>
        <w:t>s</w:t>
      </w:r>
      <w:r w:rsidR="00256FBE">
        <w:rPr>
          <w:rFonts w:ascii="Calibri" w:hAnsi="Calibri" w:cs="Calibri"/>
        </w:rPr>
        <w:t xml:space="preserve">tate and </w:t>
      </w:r>
      <w:r w:rsidR="00C06853">
        <w:rPr>
          <w:rFonts w:ascii="Calibri" w:hAnsi="Calibri" w:cs="Calibri"/>
        </w:rPr>
        <w:t>t</w:t>
      </w:r>
      <w:r w:rsidR="00256FBE">
        <w:rPr>
          <w:rFonts w:ascii="Calibri" w:hAnsi="Calibri" w:cs="Calibri"/>
        </w:rPr>
        <w:t>erritory jurisdictions,</w:t>
      </w:r>
      <w:r w:rsidRPr="006B4F00">
        <w:rPr>
          <w:rFonts w:ascii="Calibri" w:hAnsi="Calibri" w:cs="Calibri"/>
        </w:rPr>
        <w:t xml:space="preserve"> to </w:t>
      </w:r>
      <w:r w:rsidR="005F7365" w:rsidRPr="006B4F00">
        <w:rPr>
          <w:rFonts w:ascii="Calibri" w:hAnsi="Calibri" w:cs="Calibri"/>
        </w:rPr>
        <w:t>clearly formulate the risk assessment</w:t>
      </w:r>
      <w:r w:rsidRPr="006B4F00">
        <w:rPr>
          <w:rFonts w:ascii="Calibri" w:hAnsi="Calibri" w:cs="Calibri"/>
        </w:rPr>
        <w:t xml:space="preserve"> need and </w:t>
      </w:r>
      <w:r w:rsidR="005F7365" w:rsidRPr="006B4F00">
        <w:rPr>
          <w:rFonts w:ascii="Calibri" w:hAnsi="Calibri" w:cs="Calibri"/>
        </w:rPr>
        <w:t>to provide appropriate information and data.</w:t>
      </w:r>
      <w:r w:rsidR="005F7365">
        <w:rPr>
          <w:rFonts w:ascii="Calibri" w:hAnsi="Calibri" w:cs="Calibri"/>
        </w:rPr>
        <w:t xml:space="preserve"> This</w:t>
      </w:r>
      <w:r w:rsidRPr="006104EA">
        <w:rPr>
          <w:rFonts w:ascii="Calibri" w:hAnsi="Calibri" w:cs="Calibri"/>
        </w:rPr>
        <w:t xml:space="preserve"> will also allow FSANZ to estimate resource needs and consider additional work </w:t>
      </w:r>
      <w:r w:rsidR="00E95B7B">
        <w:rPr>
          <w:rFonts w:ascii="Calibri" w:hAnsi="Calibri" w:cs="Calibri"/>
        </w:rPr>
        <w:t>as well as to</w:t>
      </w:r>
      <w:r w:rsidRPr="006104EA">
        <w:rPr>
          <w:rFonts w:ascii="Calibri" w:hAnsi="Calibri" w:cs="Calibri"/>
        </w:rPr>
        <w:t xml:space="preserve"> prioritiz</w:t>
      </w:r>
      <w:r w:rsidR="00E95B7B">
        <w:rPr>
          <w:rFonts w:ascii="Calibri" w:hAnsi="Calibri" w:cs="Calibri"/>
        </w:rPr>
        <w:t>e the request</w:t>
      </w:r>
      <w:r w:rsidRPr="006104EA">
        <w:rPr>
          <w:rFonts w:ascii="Calibri" w:hAnsi="Calibri" w:cs="Calibri"/>
        </w:rPr>
        <w:t>.</w:t>
      </w:r>
    </w:p>
    <w:p w:rsidR="00A4253E" w:rsidRPr="00461964" w:rsidRDefault="00A4253E" w:rsidP="003B2DBB">
      <w:pPr>
        <w:pStyle w:val="ListParagraph"/>
        <w:spacing w:line="360" w:lineRule="auto"/>
        <w:ind w:left="0" w:firstLine="284"/>
        <w:rPr>
          <w:rFonts w:ascii="Calibri" w:hAnsi="Calibri" w:cs="Calibri"/>
        </w:rPr>
      </w:pPr>
    </w:p>
    <w:p w:rsidR="007B5A6E" w:rsidRDefault="007B5A6E" w:rsidP="00453355">
      <w:pPr>
        <w:pStyle w:val="Heading2"/>
      </w:pPr>
      <w:bookmarkStart w:id="102" w:name="_Toc322935549"/>
      <w:bookmarkStart w:id="103" w:name="_Toc332960035"/>
      <w:r>
        <w:lastRenderedPageBreak/>
        <w:t xml:space="preserve">8.2. Other </w:t>
      </w:r>
      <w:r w:rsidR="001E47C1">
        <w:t>g</w:t>
      </w:r>
      <w:r>
        <w:t xml:space="preserve">overnment </w:t>
      </w:r>
      <w:r w:rsidR="001E47C1">
        <w:t>a</w:t>
      </w:r>
      <w:r>
        <w:t>gencies</w:t>
      </w:r>
      <w:bookmarkEnd w:id="102"/>
      <w:bookmarkEnd w:id="103"/>
    </w:p>
    <w:p w:rsidR="00A4253E" w:rsidRDefault="00A4253E" w:rsidP="003B2DBB">
      <w:pPr>
        <w:pStyle w:val="Heading3"/>
        <w:ind w:firstLine="284"/>
      </w:pPr>
      <w:bookmarkStart w:id="104" w:name="_Toc322935550"/>
      <w:bookmarkStart w:id="105" w:name="_Toc332960036"/>
      <w:r>
        <w:t>NZ MAF</w:t>
      </w:r>
      <w:bookmarkEnd w:id="104"/>
      <w:r w:rsidR="00964751">
        <w:rPr>
          <w:rStyle w:val="FootnoteReference"/>
        </w:rPr>
        <w:footnoteReference w:id="3"/>
      </w:r>
      <w:bookmarkEnd w:id="105"/>
    </w:p>
    <w:p w:rsidR="008A0896" w:rsidRPr="00C06853" w:rsidRDefault="00A4253E" w:rsidP="00201CE8">
      <w:pPr>
        <w:spacing w:line="240" w:lineRule="auto"/>
        <w:rPr>
          <w:rFonts w:ascii="Calibri" w:hAnsi="Calibri" w:cs="Calibri"/>
        </w:rPr>
      </w:pPr>
      <w:r w:rsidRPr="00C06853">
        <w:rPr>
          <w:rFonts w:ascii="Calibri" w:hAnsi="Calibri" w:cs="Calibri"/>
        </w:rPr>
        <w:t>There are close interactions in the risk assessment area between FSANZ and NZ MAF</w:t>
      </w:r>
      <w:r w:rsidR="008A0896" w:rsidRPr="00C06853">
        <w:rPr>
          <w:rFonts w:ascii="Calibri" w:hAnsi="Calibri" w:cs="Calibri"/>
        </w:rPr>
        <w:t>,</w:t>
      </w:r>
      <w:r w:rsidRPr="00C06853">
        <w:rPr>
          <w:rFonts w:ascii="Calibri" w:hAnsi="Calibri" w:cs="Calibri"/>
        </w:rPr>
        <w:t xml:space="preserve"> </w:t>
      </w:r>
      <w:r w:rsidR="008A0896" w:rsidRPr="00C06853">
        <w:rPr>
          <w:rFonts w:ascii="Calibri" w:hAnsi="Calibri" w:cs="Calibri"/>
        </w:rPr>
        <w:t xml:space="preserve">recognising that NZ have their own requirements for primary production and food safety standards. </w:t>
      </w:r>
    </w:p>
    <w:p w:rsidR="00A4253E" w:rsidRPr="00D176FF" w:rsidRDefault="00A4253E" w:rsidP="00201CE8">
      <w:pPr>
        <w:spacing w:line="240" w:lineRule="auto"/>
        <w:rPr>
          <w:rFonts w:ascii="Calibri" w:hAnsi="Calibri" w:cs="Calibri"/>
        </w:rPr>
      </w:pPr>
      <w:r w:rsidRPr="00C06853">
        <w:rPr>
          <w:rFonts w:ascii="Calibri" w:hAnsi="Calibri" w:cs="Calibri"/>
        </w:rPr>
        <w:t>Risk assessments undertaken by NZ MAF in the microbiological area</w:t>
      </w:r>
      <w:r w:rsidR="00176A3A" w:rsidRPr="00C06853">
        <w:rPr>
          <w:rFonts w:ascii="Calibri" w:hAnsi="Calibri" w:cs="Calibri"/>
        </w:rPr>
        <w:t xml:space="preserve"> are</w:t>
      </w:r>
      <w:r w:rsidRPr="00C06853">
        <w:rPr>
          <w:rFonts w:ascii="Calibri" w:hAnsi="Calibri" w:cs="Calibri"/>
        </w:rPr>
        <w:t xml:space="preserve"> specific to New Zealand. Often risk profiles are established for prioriti</w:t>
      </w:r>
      <w:r w:rsidR="00B21528">
        <w:rPr>
          <w:rFonts w:ascii="Calibri" w:hAnsi="Calibri" w:cs="Calibri"/>
        </w:rPr>
        <w:t>s</w:t>
      </w:r>
      <w:r w:rsidRPr="00C06853">
        <w:rPr>
          <w:rFonts w:ascii="Calibri" w:hAnsi="Calibri" w:cs="Calibri"/>
        </w:rPr>
        <w:t xml:space="preserve">ation and identification of research needs. These microbiological risk profiles are published on the web and frequently updated. </w:t>
      </w:r>
      <w:r w:rsidR="00F73F20">
        <w:rPr>
          <w:rFonts w:ascii="Calibri" w:hAnsi="Calibri" w:cs="Calibri"/>
        </w:rPr>
        <w:t xml:space="preserve">NZ </w:t>
      </w:r>
      <w:r w:rsidR="00D176FF">
        <w:rPr>
          <w:rFonts w:ascii="Calibri" w:hAnsi="Calibri" w:cs="Calibri"/>
        </w:rPr>
        <w:t>M</w:t>
      </w:r>
      <w:r w:rsidR="001E47C1">
        <w:rPr>
          <w:rFonts w:ascii="Calibri" w:hAnsi="Calibri" w:cs="Calibri"/>
        </w:rPr>
        <w:t>AF</w:t>
      </w:r>
      <w:r w:rsidR="00D176FF">
        <w:rPr>
          <w:rFonts w:ascii="Calibri" w:hAnsi="Calibri" w:cs="Calibri"/>
        </w:rPr>
        <w:t xml:space="preserve"> interacts regularly with FSANZ </w:t>
      </w:r>
      <w:r w:rsidRPr="00D176FF">
        <w:rPr>
          <w:rFonts w:ascii="Calibri" w:hAnsi="Calibri" w:cs="Calibri"/>
        </w:rPr>
        <w:t>to avoid duplication of efforts.</w:t>
      </w:r>
    </w:p>
    <w:p w:rsidR="00A4253E" w:rsidRPr="001E47C1" w:rsidRDefault="00A4253E" w:rsidP="00201CE8">
      <w:pPr>
        <w:spacing w:line="240" w:lineRule="auto"/>
        <w:rPr>
          <w:rFonts w:ascii="Calibri" w:hAnsi="Calibri" w:cs="Calibri"/>
        </w:rPr>
      </w:pPr>
      <w:r w:rsidRPr="00C06853">
        <w:rPr>
          <w:rFonts w:ascii="Calibri" w:hAnsi="Calibri" w:cs="Calibri"/>
        </w:rPr>
        <w:t>For chemical risk assessments</w:t>
      </w:r>
      <w:r w:rsidR="0063438F" w:rsidRPr="00C06853">
        <w:rPr>
          <w:rFonts w:ascii="Calibri" w:hAnsi="Calibri" w:cs="Calibri"/>
        </w:rPr>
        <w:t>,</w:t>
      </w:r>
      <w:r w:rsidRPr="00C06853">
        <w:rPr>
          <w:rFonts w:ascii="Calibri" w:hAnsi="Calibri" w:cs="Calibri"/>
        </w:rPr>
        <w:t xml:space="preserve"> NZ MAF evaluates pesticides and veterinary drug</w:t>
      </w:r>
      <w:r w:rsidR="00C069BC" w:rsidRPr="00C06853">
        <w:rPr>
          <w:rFonts w:ascii="Calibri" w:hAnsi="Calibri" w:cs="Calibri"/>
        </w:rPr>
        <w:t>s</w:t>
      </w:r>
      <w:r w:rsidRPr="00C06853">
        <w:rPr>
          <w:rFonts w:ascii="Calibri" w:hAnsi="Calibri" w:cs="Calibri"/>
        </w:rPr>
        <w:t xml:space="preserve"> separately for </w:t>
      </w:r>
      <w:r w:rsidR="00C069BC" w:rsidRPr="00C06853">
        <w:rPr>
          <w:rFonts w:ascii="Calibri" w:hAnsi="Calibri" w:cs="Calibri"/>
        </w:rPr>
        <w:t xml:space="preserve">the </w:t>
      </w:r>
      <w:r w:rsidR="00C069BC" w:rsidRPr="00D176FF">
        <w:rPr>
          <w:rFonts w:ascii="Calibri" w:hAnsi="Calibri" w:cs="Calibri"/>
        </w:rPr>
        <w:t xml:space="preserve">purpose of </w:t>
      </w:r>
      <w:r w:rsidRPr="00D176FF">
        <w:rPr>
          <w:rFonts w:ascii="Calibri" w:hAnsi="Calibri" w:cs="Calibri"/>
        </w:rPr>
        <w:t xml:space="preserve">registration in New Zealand. Common areas on other chemicals relate to work on the </w:t>
      </w:r>
      <w:r w:rsidR="007529A7" w:rsidRPr="00D176FF">
        <w:rPr>
          <w:rFonts w:ascii="Calibri" w:hAnsi="Calibri" w:cs="Calibri"/>
        </w:rPr>
        <w:t>Code, in these cases FSANZ</w:t>
      </w:r>
      <w:r w:rsidR="001F2EAE" w:rsidRPr="00D176FF">
        <w:rPr>
          <w:rFonts w:ascii="Calibri" w:hAnsi="Calibri" w:cs="Calibri"/>
        </w:rPr>
        <w:t xml:space="preserve"> </w:t>
      </w:r>
      <w:r w:rsidRPr="00D176FF">
        <w:rPr>
          <w:rFonts w:ascii="Calibri" w:hAnsi="Calibri" w:cs="Calibri"/>
        </w:rPr>
        <w:t>draft</w:t>
      </w:r>
      <w:r w:rsidR="0063438F" w:rsidRPr="00D176FF">
        <w:rPr>
          <w:rFonts w:ascii="Calibri" w:hAnsi="Calibri" w:cs="Calibri"/>
        </w:rPr>
        <w:t>s</w:t>
      </w:r>
      <w:r w:rsidRPr="00D176FF">
        <w:rPr>
          <w:rFonts w:ascii="Calibri" w:hAnsi="Calibri" w:cs="Calibri"/>
        </w:rPr>
        <w:t xml:space="preserve"> the risk assessments for NZ MAF to provide comments, usually </w:t>
      </w:r>
      <w:r w:rsidR="0063438F" w:rsidRPr="00D176FF">
        <w:rPr>
          <w:rFonts w:ascii="Calibri" w:hAnsi="Calibri" w:cs="Calibri"/>
        </w:rPr>
        <w:t>as a part of the</w:t>
      </w:r>
      <w:r w:rsidRPr="00F73F20">
        <w:rPr>
          <w:rFonts w:ascii="Calibri" w:hAnsi="Calibri" w:cs="Calibri"/>
        </w:rPr>
        <w:t xml:space="preserve"> public review process. For complex risk assessments NZ </w:t>
      </w:r>
      <w:proofErr w:type="gramStart"/>
      <w:r w:rsidRPr="00F73F20">
        <w:rPr>
          <w:rFonts w:ascii="Calibri" w:hAnsi="Calibri" w:cs="Calibri"/>
        </w:rPr>
        <w:t xml:space="preserve">MAF </w:t>
      </w:r>
      <w:r w:rsidR="00F73F20">
        <w:rPr>
          <w:rFonts w:ascii="Calibri" w:hAnsi="Calibri" w:cs="Calibri"/>
        </w:rPr>
        <w:t xml:space="preserve"> </w:t>
      </w:r>
      <w:r w:rsidR="007529A7" w:rsidRPr="00F73F20">
        <w:rPr>
          <w:rFonts w:ascii="Calibri" w:hAnsi="Calibri" w:cs="Calibri"/>
        </w:rPr>
        <w:t>input</w:t>
      </w:r>
      <w:proofErr w:type="gramEnd"/>
      <w:r w:rsidR="007529A7" w:rsidRPr="00F73F20">
        <w:rPr>
          <w:rFonts w:ascii="Calibri" w:hAnsi="Calibri" w:cs="Calibri"/>
        </w:rPr>
        <w:t xml:space="preserve"> </w:t>
      </w:r>
      <w:r w:rsidRPr="00F73F20">
        <w:rPr>
          <w:rFonts w:ascii="Calibri" w:hAnsi="Calibri" w:cs="Calibri"/>
        </w:rPr>
        <w:t xml:space="preserve">can be requested earlier. Other areas of joint work are triggered by </w:t>
      </w:r>
      <w:r w:rsidR="003A4D18" w:rsidRPr="00F73F20">
        <w:rPr>
          <w:rFonts w:ascii="Calibri" w:hAnsi="Calibri" w:cs="Calibri"/>
        </w:rPr>
        <w:t xml:space="preserve">food </w:t>
      </w:r>
      <w:r w:rsidRPr="00F73F20">
        <w:rPr>
          <w:rFonts w:ascii="Calibri" w:hAnsi="Calibri" w:cs="Calibri"/>
        </w:rPr>
        <w:t xml:space="preserve">incidents, where </w:t>
      </w:r>
      <w:r w:rsidR="003A4D18" w:rsidRPr="00F73F20">
        <w:rPr>
          <w:rFonts w:ascii="Calibri" w:hAnsi="Calibri" w:cs="Calibri"/>
        </w:rPr>
        <w:t xml:space="preserve">the agencies collaborate closely on the risk assessment, even if the incident is </w:t>
      </w:r>
      <w:r w:rsidR="003A4D18" w:rsidRPr="001E47C1">
        <w:rPr>
          <w:rFonts w:ascii="Calibri" w:hAnsi="Calibri" w:cs="Calibri"/>
        </w:rPr>
        <w:t xml:space="preserve">managed under separate processes.  </w:t>
      </w:r>
    </w:p>
    <w:p w:rsidR="00A4253E" w:rsidRPr="00E5670F" w:rsidRDefault="00A4253E" w:rsidP="00201CE8">
      <w:pPr>
        <w:spacing w:line="240" w:lineRule="auto"/>
        <w:rPr>
          <w:rFonts w:ascii="Calibri" w:hAnsi="Calibri" w:cs="Calibri"/>
        </w:rPr>
      </w:pPr>
      <w:r w:rsidRPr="00912B75">
        <w:rPr>
          <w:rFonts w:ascii="Calibri" w:hAnsi="Calibri" w:cs="Calibri"/>
        </w:rPr>
        <w:t>Overall there is constant interaction with FSANZ, through direct communication between relevant risk assessment staff</w:t>
      </w:r>
      <w:r w:rsidR="000142CC" w:rsidRPr="00912B75">
        <w:rPr>
          <w:rFonts w:ascii="Calibri" w:hAnsi="Calibri" w:cs="Calibri"/>
        </w:rPr>
        <w:t>, for example NZ M</w:t>
      </w:r>
      <w:r w:rsidR="000142CC" w:rsidRPr="00F73F20">
        <w:rPr>
          <w:rFonts w:ascii="Calibri" w:hAnsi="Calibri" w:cs="Calibri"/>
        </w:rPr>
        <w:t xml:space="preserve">AF </w:t>
      </w:r>
      <w:proofErr w:type="gramStart"/>
      <w:r w:rsidR="000142CC" w:rsidRPr="00F73F20">
        <w:rPr>
          <w:rFonts w:ascii="Calibri" w:hAnsi="Calibri" w:cs="Calibri"/>
        </w:rPr>
        <w:t>staff participate</w:t>
      </w:r>
      <w:proofErr w:type="gramEnd"/>
      <w:r w:rsidR="000142CC" w:rsidRPr="00F73F20">
        <w:rPr>
          <w:rFonts w:ascii="Calibri" w:hAnsi="Calibri" w:cs="Calibri"/>
        </w:rPr>
        <w:t xml:space="preserve"> in some FSANZ discipline group meetings via videoconference</w:t>
      </w:r>
      <w:r w:rsidRPr="00912B75">
        <w:rPr>
          <w:rFonts w:ascii="Calibri" w:hAnsi="Calibri" w:cs="Calibri"/>
        </w:rPr>
        <w:t xml:space="preserve">. Moreover, a number of joint research projects are undertaken, </w:t>
      </w:r>
      <w:r w:rsidR="00BA158E" w:rsidRPr="00912B75">
        <w:rPr>
          <w:rFonts w:ascii="Calibri" w:hAnsi="Calibri" w:cs="Calibri"/>
        </w:rPr>
        <w:t xml:space="preserve">e.g. </w:t>
      </w:r>
      <w:r w:rsidR="0063438F" w:rsidRPr="00912B75">
        <w:rPr>
          <w:rFonts w:ascii="Calibri" w:hAnsi="Calibri" w:cs="Calibri"/>
        </w:rPr>
        <w:t xml:space="preserve">a </w:t>
      </w:r>
      <w:r w:rsidRPr="00912B75">
        <w:rPr>
          <w:rFonts w:ascii="Calibri" w:hAnsi="Calibri" w:cs="Calibri"/>
        </w:rPr>
        <w:t>survey of caffeine in spec</w:t>
      </w:r>
      <w:r w:rsidR="000A5645" w:rsidRPr="00912B75">
        <w:rPr>
          <w:rFonts w:ascii="Calibri" w:hAnsi="Calibri" w:cs="Calibri"/>
        </w:rPr>
        <w:t xml:space="preserve">ial products, </w:t>
      </w:r>
      <w:r w:rsidR="0063438F" w:rsidRPr="00912B75">
        <w:rPr>
          <w:rFonts w:ascii="Calibri" w:hAnsi="Calibri" w:cs="Calibri"/>
        </w:rPr>
        <w:t xml:space="preserve">and a </w:t>
      </w:r>
      <w:r w:rsidR="000A5645" w:rsidRPr="00912B75">
        <w:rPr>
          <w:rFonts w:ascii="Calibri" w:hAnsi="Calibri" w:cs="Calibri"/>
        </w:rPr>
        <w:t xml:space="preserve">survey of furan. </w:t>
      </w:r>
      <w:r w:rsidR="000A5645" w:rsidRPr="00E5670F">
        <w:rPr>
          <w:rFonts w:ascii="Calibri" w:hAnsi="Calibri" w:cs="Calibri"/>
        </w:rPr>
        <w:t xml:space="preserve"> </w:t>
      </w:r>
      <w:r w:rsidRPr="00E5670F">
        <w:rPr>
          <w:rFonts w:ascii="Calibri" w:hAnsi="Calibri" w:cs="Calibri"/>
        </w:rPr>
        <w:t xml:space="preserve">Formal meetings are held twice per year. </w:t>
      </w:r>
    </w:p>
    <w:p w:rsidR="00A4253E" w:rsidRPr="00C06853" w:rsidRDefault="00A4253E" w:rsidP="00201CE8">
      <w:pPr>
        <w:spacing w:line="240" w:lineRule="auto"/>
        <w:rPr>
          <w:rFonts w:ascii="Calibri" w:hAnsi="Calibri" w:cs="Calibri"/>
        </w:rPr>
      </w:pPr>
      <w:r w:rsidRPr="00C06853">
        <w:rPr>
          <w:rFonts w:ascii="Calibri" w:hAnsi="Calibri" w:cs="Calibri"/>
        </w:rPr>
        <w:t xml:space="preserve">Other areas of interaction and collaboration relate to the sharing of national positions </w:t>
      </w:r>
      <w:r w:rsidR="00F73F20">
        <w:rPr>
          <w:rFonts w:ascii="Calibri" w:hAnsi="Calibri" w:cs="Calibri"/>
        </w:rPr>
        <w:t xml:space="preserve">to prepare for </w:t>
      </w:r>
      <w:r w:rsidRPr="00C06853">
        <w:rPr>
          <w:rFonts w:ascii="Calibri" w:hAnsi="Calibri" w:cs="Calibri"/>
        </w:rPr>
        <w:t>Codex meetings, sharing of national dietary exposure assessments, and sharing and harmonizing of press releases.</w:t>
      </w:r>
    </w:p>
    <w:p w:rsidR="00A4253E" w:rsidRPr="001E47C1" w:rsidRDefault="00A4253E" w:rsidP="00201CE8">
      <w:pPr>
        <w:spacing w:line="240" w:lineRule="auto"/>
        <w:rPr>
          <w:rFonts w:ascii="Calibri" w:hAnsi="Calibri" w:cs="Calibri"/>
        </w:rPr>
      </w:pPr>
      <w:r w:rsidRPr="00F73F20">
        <w:rPr>
          <w:rFonts w:ascii="Calibri" w:hAnsi="Calibri" w:cs="Calibri"/>
        </w:rPr>
        <w:t>Suggestions for improvement relate to further improved communication: further encouragement of regular discuss</w:t>
      </w:r>
      <w:r w:rsidRPr="001E47C1">
        <w:rPr>
          <w:rFonts w:ascii="Calibri" w:hAnsi="Calibri" w:cs="Calibri"/>
        </w:rPr>
        <w:t>ions</w:t>
      </w:r>
      <w:r w:rsidR="001E47C1">
        <w:rPr>
          <w:rFonts w:ascii="Calibri" w:hAnsi="Calibri" w:cs="Calibri"/>
        </w:rPr>
        <w:t xml:space="preserve"> including in </w:t>
      </w:r>
      <w:r w:rsidRPr="001E47C1">
        <w:rPr>
          <w:rFonts w:ascii="Calibri" w:hAnsi="Calibri" w:cs="Calibri"/>
        </w:rPr>
        <w:t>the planning stage before starting more complex risk assessments. For existing risk assessments with different outcomes</w:t>
      </w:r>
      <w:r w:rsidR="0063438F" w:rsidRPr="001E47C1">
        <w:rPr>
          <w:rFonts w:ascii="Calibri" w:hAnsi="Calibri" w:cs="Calibri"/>
        </w:rPr>
        <w:t>,</w:t>
      </w:r>
      <w:r w:rsidRPr="001E47C1">
        <w:rPr>
          <w:rFonts w:ascii="Calibri" w:hAnsi="Calibri" w:cs="Calibri"/>
        </w:rPr>
        <w:t xml:space="preserve"> it is important to harmonize approaches (e.g. iodine in bread). It is also important when talking to industry to have NZ MAF staff in</w:t>
      </w:r>
      <w:r w:rsidR="001F2EAE" w:rsidRPr="001E47C1">
        <w:rPr>
          <w:rFonts w:ascii="Calibri" w:hAnsi="Calibri" w:cs="Calibri"/>
        </w:rPr>
        <w:t>volved to speak in ‘one voice’,</w:t>
      </w:r>
      <w:r w:rsidRPr="001E47C1">
        <w:rPr>
          <w:rFonts w:ascii="Calibri" w:hAnsi="Calibri" w:cs="Calibri"/>
        </w:rPr>
        <w:t xml:space="preserve"> in order to avoid public confusion about the roles of FSANZ and NZ MAF.</w:t>
      </w:r>
    </w:p>
    <w:p w:rsidR="00A4253E" w:rsidRPr="00201CE8" w:rsidRDefault="00A4253E" w:rsidP="00201CE8">
      <w:pPr>
        <w:spacing w:line="240" w:lineRule="auto"/>
        <w:rPr>
          <w:rFonts w:ascii="Calibri" w:hAnsi="Calibri" w:cs="Calibri"/>
        </w:rPr>
      </w:pPr>
      <w:r w:rsidRPr="00F73F20">
        <w:rPr>
          <w:rFonts w:ascii="Calibri" w:hAnsi="Calibri" w:cs="Calibri"/>
        </w:rPr>
        <w:t xml:space="preserve">Areas of concern are the prioritization of risk assessment work, where NZ MAF perceives </w:t>
      </w:r>
      <w:r w:rsidR="00F04CF7" w:rsidRPr="00F73F20">
        <w:rPr>
          <w:rFonts w:ascii="Calibri" w:hAnsi="Calibri" w:cs="Calibri"/>
        </w:rPr>
        <w:t>it</w:t>
      </w:r>
      <w:r w:rsidRPr="00F73F20">
        <w:rPr>
          <w:rFonts w:ascii="Calibri" w:hAnsi="Calibri" w:cs="Calibri"/>
        </w:rPr>
        <w:t xml:space="preserve"> ha</w:t>
      </w:r>
      <w:r w:rsidR="00F04CF7" w:rsidRPr="00F73F20">
        <w:rPr>
          <w:rFonts w:ascii="Calibri" w:hAnsi="Calibri" w:cs="Calibri"/>
        </w:rPr>
        <w:t>s</w:t>
      </w:r>
      <w:r w:rsidRPr="00F73F20">
        <w:rPr>
          <w:rFonts w:ascii="Calibri" w:hAnsi="Calibri" w:cs="Calibri"/>
        </w:rPr>
        <w:t xml:space="preserve"> less influence than other stakeholders e.g. </w:t>
      </w:r>
      <w:r w:rsidR="001E47C1">
        <w:rPr>
          <w:rFonts w:ascii="Calibri" w:hAnsi="Calibri" w:cs="Calibri"/>
        </w:rPr>
        <w:t>s</w:t>
      </w:r>
      <w:r w:rsidRPr="00F73F20">
        <w:rPr>
          <w:rFonts w:ascii="Calibri" w:hAnsi="Calibri" w:cs="Calibri"/>
        </w:rPr>
        <w:t xml:space="preserve">tates and </w:t>
      </w:r>
      <w:r w:rsidR="001E47C1">
        <w:rPr>
          <w:rFonts w:ascii="Calibri" w:hAnsi="Calibri" w:cs="Calibri"/>
        </w:rPr>
        <w:t>t</w:t>
      </w:r>
      <w:r w:rsidRPr="00F73F20">
        <w:rPr>
          <w:rFonts w:ascii="Calibri" w:hAnsi="Calibri" w:cs="Calibri"/>
        </w:rPr>
        <w:t>erritories. For toxicological assessments ther</w:t>
      </w:r>
      <w:r w:rsidR="00A11395" w:rsidRPr="001E47C1">
        <w:rPr>
          <w:rFonts w:ascii="Calibri" w:hAnsi="Calibri" w:cs="Calibri"/>
        </w:rPr>
        <w:t xml:space="preserve">e is sometimes a difference in the </w:t>
      </w:r>
      <w:r w:rsidR="00A11395" w:rsidRPr="00912B75">
        <w:rPr>
          <w:rFonts w:ascii="Calibri" w:hAnsi="Calibri" w:cs="Calibri"/>
        </w:rPr>
        <w:t>level of conservatism</w:t>
      </w:r>
      <w:r w:rsidRPr="00912B75">
        <w:rPr>
          <w:rFonts w:ascii="Calibri" w:hAnsi="Calibri" w:cs="Calibri"/>
        </w:rPr>
        <w:t xml:space="preserve"> underlying the risk assessment, and further work to harmonize </w:t>
      </w:r>
      <w:r w:rsidR="00677557" w:rsidRPr="00912B75">
        <w:rPr>
          <w:rFonts w:ascii="Calibri" w:hAnsi="Calibri" w:cs="Calibri"/>
        </w:rPr>
        <w:t xml:space="preserve">this </w:t>
      </w:r>
      <w:r w:rsidR="00F04CF7" w:rsidRPr="00912B75">
        <w:rPr>
          <w:rFonts w:ascii="Calibri" w:hAnsi="Calibri" w:cs="Calibri"/>
        </w:rPr>
        <w:t>is</w:t>
      </w:r>
      <w:r w:rsidRPr="00912B75">
        <w:rPr>
          <w:rFonts w:ascii="Calibri" w:hAnsi="Calibri" w:cs="Calibri"/>
        </w:rPr>
        <w:t xml:space="preserve"> important.</w:t>
      </w:r>
    </w:p>
    <w:p w:rsidR="00A4253E" w:rsidRDefault="00A4253E" w:rsidP="00201CE8">
      <w:pPr>
        <w:pStyle w:val="Heading3"/>
      </w:pPr>
      <w:bookmarkStart w:id="106" w:name="_Toc322935551"/>
      <w:bookmarkStart w:id="107" w:name="_Toc332960037"/>
      <w:r>
        <w:t xml:space="preserve">DAFF </w:t>
      </w:r>
      <w:bookmarkEnd w:id="106"/>
      <w:bookmarkEnd w:id="107"/>
    </w:p>
    <w:p w:rsidR="00A4253E" w:rsidRPr="00461964" w:rsidRDefault="00A4253E" w:rsidP="00201CE8">
      <w:pPr>
        <w:spacing w:line="240" w:lineRule="auto"/>
        <w:rPr>
          <w:rFonts w:ascii="Calibri" w:hAnsi="Calibri" w:cs="Calibri"/>
        </w:rPr>
      </w:pPr>
      <w:r w:rsidRPr="00461964">
        <w:rPr>
          <w:rFonts w:ascii="Calibri" w:hAnsi="Calibri" w:cs="Calibri"/>
        </w:rPr>
        <w:t xml:space="preserve">Interaction </w:t>
      </w:r>
      <w:r w:rsidR="001E47C1">
        <w:rPr>
          <w:rFonts w:ascii="Calibri" w:hAnsi="Calibri" w:cs="Calibri"/>
        </w:rPr>
        <w:t xml:space="preserve">between FSANZ and DAFF </w:t>
      </w:r>
      <w:r w:rsidRPr="00461964">
        <w:rPr>
          <w:rFonts w:ascii="Calibri" w:hAnsi="Calibri" w:cs="Calibri"/>
        </w:rPr>
        <w:t xml:space="preserve">is in specific areas and more on the risk management rather than the risk assessment side. Regarding interactions in relation to risk assessment, DAFF provides input to the development of primary production and processing standards, in particular input from the farm level, and on occasions provides data input to surveillance studies. Data from the national residues survey (NRS) </w:t>
      </w:r>
      <w:r w:rsidR="001E47C1">
        <w:rPr>
          <w:rFonts w:ascii="Calibri" w:hAnsi="Calibri" w:cs="Calibri"/>
        </w:rPr>
        <w:t>is</w:t>
      </w:r>
      <w:r w:rsidRPr="00461964">
        <w:rPr>
          <w:rFonts w:ascii="Calibri" w:hAnsi="Calibri" w:cs="Calibri"/>
        </w:rPr>
        <w:t xml:space="preserve"> provided to FSANZ </w:t>
      </w:r>
      <w:r w:rsidR="00F04CF7">
        <w:rPr>
          <w:rFonts w:ascii="Calibri" w:hAnsi="Calibri" w:cs="Calibri"/>
        </w:rPr>
        <w:t>to consider as a part of</w:t>
      </w:r>
      <w:r w:rsidRPr="00461964">
        <w:rPr>
          <w:rFonts w:ascii="Calibri" w:hAnsi="Calibri" w:cs="Calibri"/>
        </w:rPr>
        <w:t xml:space="preserve"> risk assessments.</w:t>
      </w:r>
    </w:p>
    <w:p w:rsidR="00A4253E" w:rsidRPr="00461964" w:rsidRDefault="00A4253E" w:rsidP="00201CE8">
      <w:pPr>
        <w:spacing w:line="240" w:lineRule="auto"/>
        <w:rPr>
          <w:rFonts w:ascii="Calibri" w:hAnsi="Calibri" w:cs="Calibri"/>
        </w:rPr>
      </w:pPr>
      <w:r w:rsidRPr="00461964">
        <w:rPr>
          <w:rFonts w:ascii="Calibri" w:hAnsi="Calibri" w:cs="Calibri"/>
        </w:rPr>
        <w:lastRenderedPageBreak/>
        <w:t xml:space="preserve">In relation to the imported food program </w:t>
      </w:r>
      <w:r w:rsidR="001E47C1">
        <w:rPr>
          <w:rFonts w:ascii="Calibri" w:hAnsi="Calibri" w:cs="Calibri"/>
        </w:rPr>
        <w:t xml:space="preserve">which is </w:t>
      </w:r>
      <w:r w:rsidRPr="00461964">
        <w:rPr>
          <w:rFonts w:ascii="Calibri" w:hAnsi="Calibri" w:cs="Calibri"/>
        </w:rPr>
        <w:t xml:space="preserve">the responsibility of DAFF, FSANZ provides the risk assessment and input to the development of a risk-based monitoring plan. </w:t>
      </w:r>
    </w:p>
    <w:p w:rsidR="00A4253E" w:rsidRPr="00461964" w:rsidRDefault="00A4253E" w:rsidP="00201CE8">
      <w:pPr>
        <w:spacing w:line="240" w:lineRule="auto"/>
        <w:rPr>
          <w:rFonts w:ascii="Calibri" w:hAnsi="Calibri" w:cs="Calibri"/>
        </w:rPr>
      </w:pPr>
      <w:r w:rsidRPr="00461964">
        <w:rPr>
          <w:rFonts w:ascii="Calibri" w:hAnsi="Calibri" w:cs="Calibri"/>
        </w:rPr>
        <w:t xml:space="preserve">FSANZ provides risk assessment advice on an </w:t>
      </w:r>
      <w:r w:rsidRPr="00201CE8">
        <w:rPr>
          <w:rFonts w:ascii="Calibri" w:hAnsi="Calibri" w:cs="Calibri"/>
        </w:rPr>
        <w:t>ad hoc</w:t>
      </w:r>
      <w:r w:rsidRPr="00461964">
        <w:rPr>
          <w:rFonts w:ascii="Calibri" w:hAnsi="Calibri" w:cs="Calibri"/>
        </w:rPr>
        <w:t xml:space="preserve"> basis to DAFF, as well as input to (ministerial) briefings, Codex briefs etc.</w:t>
      </w:r>
    </w:p>
    <w:p w:rsidR="00A4253E" w:rsidRPr="00461964" w:rsidRDefault="00A4253E" w:rsidP="00201CE8">
      <w:pPr>
        <w:spacing w:line="240" w:lineRule="auto"/>
        <w:rPr>
          <w:rFonts w:ascii="Calibri" w:hAnsi="Calibri" w:cs="Calibri"/>
        </w:rPr>
      </w:pPr>
      <w:r w:rsidRPr="00461964">
        <w:rPr>
          <w:rFonts w:ascii="Calibri" w:hAnsi="Calibri" w:cs="Calibri"/>
        </w:rPr>
        <w:t>An area for improvement was identified for the imported food program, and in particular on the joint project ‘imported food risks’. There is a need for a clear rational</w:t>
      </w:r>
      <w:r w:rsidR="000142CC">
        <w:rPr>
          <w:rFonts w:ascii="Calibri" w:hAnsi="Calibri" w:cs="Calibri"/>
        </w:rPr>
        <w:t>e</w:t>
      </w:r>
      <w:r w:rsidRPr="00461964">
        <w:rPr>
          <w:rFonts w:ascii="Calibri" w:hAnsi="Calibri" w:cs="Calibri"/>
        </w:rPr>
        <w:t xml:space="preserve"> for </w:t>
      </w:r>
      <w:r w:rsidR="001E47C1">
        <w:rPr>
          <w:rFonts w:ascii="Calibri" w:hAnsi="Calibri" w:cs="Calibri"/>
        </w:rPr>
        <w:t xml:space="preserve">including </w:t>
      </w:r>
      <w:r w:rsidRPr="00461964">
        <w:rPr>
          <w:rFonts w:ascii="Calibri" w:hAnsi="Calibri" w:cs="Calibri"/>
        </w:rPr>
        <w:t xml:space="preserve">certain hazards, e.g. via a risk ranking and risk profiling, to better link to the </w:t>
      </w:r>
      <w:r w:rsidR="00AF49F5">
        <w:rPr>
          <w:rFonts w:ascii="Calibri" w:hAnsi="Calibri" w:cs="Calibri"/>
        </w:rPr>
        <w:t>C</w:t>
      </w:r>
      <w:r w:rsidRPr="00461964">
        <w:rPr>
          <w:rFonts w:ascii="Calibri" w:hAnsi="Calibri" w:cs="Calibri"/>
        </w:rPr>
        <w:t xml:space="preserve">ode and real health risk. </w:t>
      </w:r>
    </w:p>
    <w:p w:rsidR="00A4253E" w:rsidRPr="00461964" w:rsidRDefault="00A4253E" w:rsidP="00201CE8">
      <w:pPr>
        <w:spacing w:line="240" w:lineRule="auto"/>
        <w:rPr>
          <w:rFonts w:ascii="Calibri" w:hAnsi="Calibri" w:cs="Calibri"/>
        </w:rPr>
      </w:pPr>
      <w:r w:rsidRPr="00461964">
        <w:rPr>
          <w:rFonts w:ascii="Calibri" w:hAnsi="Calibri" w:cs="Calibri"/>
        </w:rPr>
        <w:t>More collaboration on data formats (for surveillance d</w:t>
      </w:r>
      <w:r w:rsidR="001F2EAE">
        <w:rPr>
          <w:rFonts w:ascii="Calibri" w:hAnsi="Calibri" w:cs="Calibri"/>
        </w:rPr>
        <w:t xml:space="preserve">ata) for easier sharing and to </w:t>
      </w:r>
      <w:r w:rsidRPr="00461964">
        <w:rPr>
          <w:rFonts w:ascii="Calibri" w:hAnsi="Calibri" w:cs="Calibri"/>
        </w:rPr>
        <w:t xml:space="preserve">better complement FSANZ work would be helpful. </w:t>
      </w:r>
    </w:p>
    <w:p w:rsidR="00A4253E" w:rsidRPr="00461964" w:rsidRDefault="00A4253E" w:rsidP="00201CE8">
      <w:pPr>
        <w:spacing w:line="240" w:lineRule="auto"/>
        <w:rPr>
          <w:rFonts w:ascii="Calibri" w:hAnsi="Calibri" w:cs="Calibri"/>
        </w:rPr>
      </w:pPr>
      <w:r w:rsidRPr="00461964">
        <w:rPr>
          <w:rFonts w:ascii="Calibri" w:hAnsi="Calibri" w:cs="Calibri"/>
        </w:rPr>
        <w:t>Overall FSANZ is seen as the national risk assessment authority.  FSANZ</w:t>
      </w:r>
      <w:r w:rsidR="00F04CF7">
        <w:rPr>
          <w:rFonts w:ascii="Calibri" w:hAnsi="Calibri" w:cs="Calibri"/>
        </w:rPr>
        <w:t>’s</w:t>
      </w:r>
      <w:r w:rsidRPr="00461964">
        <w:rPr>
          <w:rFonts w:ascii="Calibri" w:hAnsi="Calibri" w:cs="Calibri"/>
        </w:rPr>
        <w:t xml:space="preserve"> openness to stakeholder input was seen </w:t>
      </w:r>
      <w:r w:rsidR="00F04CF7">
        <w:rPr>
          <w:rFonts w:ascii="Calibri" w:hAnsi="Calibri" w:cs="Calibri"/>
        </w:rPr>
        <w:t xml:space="preserve">as </w:t>
      </w:r>
      <w:r w:rsidRPr="00461964">
        <w:rPr>
          <w:rFonts w:ascii="Calibri" w:hAnsi="Calibri" w:cs="Calibri"/>
        </w:rPr>
        <w:t>positive, but it has to be ensured that this does not influence the process.</w:t>
      </w:r>
    </w:p>
    <w:p w:rsidR="00A4253E" w:rsidRPr="00461964" w:rsidRDefault="00A4253E" w:rsidP="00201CE8">
      <w:pPr>
        <w:spacing w:line="240" w:lineRule="auto"/>
        <w:rPr>
          <w:rFonts w:ascii="Calibri" w:hAnsi="Calibri" w:cs="Calibri"/>
        </w:rPr>
      </w:pPr>
      <w:r w:rsidRPr="00461964">
        <w:rPr>
          <w:rFonts w:ascii="Calibri" w:hAnsi="Calibri" w:cs="Calibri"/>
        </w:rPr>
        <w:t>Concern was raised that the risk assessment area is ‘overstretched’ and does not leave enough time and resources to run small research projects to fill risk assessment gaps. More scientific publications on FSANZ work would be beneficial for more transparency and credibility. Concern was also raised o</w:t>
      </w:r>
      <w:r w:rsidR="00E130AD">
        <w:rPr>
          <w:rFonts w:ascii="Calibri" w:hAnsi="Calibri" w:cs="Calibri"/>
        </w:rPr>
        <w:t>n the lack of transparency in risk management</w:t>
      </w:r>
      <w:r w:rsidRPr="00461964">
        <w:rPr>
          <w:rFonts w:ascii="Calibri" w:hAnsi="Calibri" w:cs="Calibri"/>
        </w:rPr>
        <w:t xml:space="preserve"> decision-making, thereby p</w:t>
      </w:r>
      <w:r w:rsidR="00E130AD">
        <w:rPr>
          <w:rFonts w:ascii="Calibri" w:hAnsi="Calibri" w:cs="Calibri"/>
        </w:rPr>
        <w:t>otentially losing the link to risk assessment</w:t>
      </w:r>
      <w:r w:rsidRPr="00461964">
        <w:rPr>
          <w:rFonts w:ascii="Calibri" w:hAnsi="Calibri" w:cs="Calibri"/>
        </w:rPr>
        <w:t xml:space="preserve">. </w:t>
      </w:r>
      <w:r w:rsidR="001E47C1">
        <w:rPr>
          <w:rFonts w:ascii="Calibri" w:hAnsi="Calibri" w:cs="Calibri"/>
        </w:rPr>
        <w:t xml:space="preserve">There was also a view that </w:t>
      </w:r>
      <w:r w:rsidRPr="00461964">
        <w:rPr>
          <w:rFonts w:ascii="Calibri" w:hAnsi="Calibri" w:cs="Calibri"/>
        </w:rPr>
        <w:t xml:space="preserve">a sort of ‘validation’ that </w:t>
      </w:r>
      <w:r w:rsidR="00E130AD" w:rsidRPr="00E130AD">
        <w:rPr>
          <w:rFonts w:ascii="Calibri" w:hAnsi="Calibri" w:cs="Calibri"/>
        </w:rPr>
        <w:t xml:space="preserve">risk management </w:t>
      </w:r>
      <w:r w:rsidRPr="00461964">
        <w:rPr>
          <w:rFonts w:ascii="Calibri" w:hAnsi="Calibri" w:cs="Calibri"/>
        </w:rPr>
        <w:t>decisions actually achieve stated goal</w:t>
      </w:r>
      <w:r w:rsidR="001E47C1">
        <w:rPr>
          <w:rFonts w:ascii="Calibri" w:hAnsi="Calibri" w:cs="Calibri"/>
        </w:rPr>
        <w:t>s</w:t>
      </w:r>
      <w:r w:rsidRPr="00461964">
        <w:rPr>
          <w:rFonts w:ascii="Calibri" w:hAnsi="Calibri" w:cs="Calibri"/>
        </w:rPr>
        <w:t xml:space="preserve"> was missing.</w:t>
      </w:r>
    </w:p>
    <w:p w:rsidR="00A4253E" w:rsidRDefault="00A4253E" w:rsidP="00201CE8">
      <w:pPr>
        <w:pStyle w:val="Heading3"/>
      </w:pPr>
      <w:bookmarkStart w:id="108" w:name="_Toc322935552"/>
      <w:bookmarkStart w:id="109" w:name="_Toc332960038"/>
      <w:r>
        <w:t>APVMA</w:t>
      </w:r>
      <w:bookmarkEnd w:id="108"/>
      <w:bookmarkEnd w:id="109"/>
    </w:p>
    <w:p w:rsidR="00A4253E" w:rsidRPr="00461964" w:rsidRDefault="00A4253E" w:rsidP="00201CE8">
      <w:pPr>
        <w:spacing w:line="240" w:lineRule="auto"/>
        <w:rPr>
          <w:rFonts w:ascii="Calibri" w:hAnsi="Calibri" w:cs="Calibri"/>
        </w:rPr>
      </w:pPr>
      <w:r w:rsidRPr="00461964">
        <w:rPr>
          <w:rFonts w:ascii="Calibri" w:hAnsi="Calibri" w:cs="Calibri"/>
        </w:rPr>
        <w:t xml:space="preserve">Interaction </w:t>
      </w:r>
      <w:r w:rsidR="001E47C1">
        <w:rPr>
          <w:rFonts w:ascii="Calibri" w:hAnsi="Calibri" w:cs="Calibri"/>
        </w:rPr>
        <w:t xml:space="preserve">between </w:t>
      </w:r>
      <w:r w:rsidRPr="00461964">
        <w:rPr>
          <w:rFonts w:ascii="Calibri" w:hAnsi="Calibri" w:cs="Calibri"/>
        </w:rPr>
        <w:t xml:space="preserve">FSANZ </w:t>
      </w:r>
      <w:r w:rsidR="001E47C1">
        <w:rPr>
          <w:rFonts w:ascii="Calibri" w:hAnsi="Calibri" w:cs="Calibri"/>
        </w:rPr>
        <w:t xml:space="preserve">and the APVMA </w:t>
      </w:r>
      <w:r w:rsidRPr="00461964">
        <w:rPr>
          <w:rFonts w:ascii="Calibri" w:hAnsi="Calibri" w:cs="Calibri"/>
        </w:rPr>
        <w:t xml:space="preserve">occurs mainly on the policy level. </w:t>
      </w:r>
    </w:p>
    <w:p w:rsidR="00A4253E" w:rsidRDefault="00A4253E" w:rsidP="00201CE8">
      <w:pPr>
        <w:spacing w:line="240" w:lineRule="auto"/>
        <w:rPr>
          <w:rFonts w:ascii="Calibri" w:hAnsi="Calibri" w:cs="Calibri"/>
        </w:rPr>
      </w:pPr>
      <w:r w:rsidRPr="00461964">
        <w:rPr>
          <w:rFonts w:ascii="Calibri" w:hAnsi="Calibri" w:cs="Calibri"/>
        </w:rPr>
        <w:t>In relation to risk assessment, APVMA performs dietary exposure assessments for pesticide</w:t>
      </w:r>
      <w:r w:rsidR="00AF49F5">
        <w:rPr>
          <w:rFonts w:ascii="Calibri" w:hAnsi="Calibri" w:cs="Calibri"/>
        </w:rPr>
        <w:t xml:space="preserve"> </w:t>
      </w:r>
      <w:r w:rsidRPr="00461964">
        <w:rPr>
          <w:rFonts w:ascii="Calibri" w:hAnsi="Calibri" w:cs="Calibri"/>
        </w:rPr>
        <w:t>residues in food, utilizing FSANZ food consumption data. FSANZ reviews the draft exposure assessment,</w:t>
      </w:r>
      <w:r w:rsidR="006D1647">
        <w:rPr>
          <w:rFonts w:ascii="Calibri" w:hAnsi="Calibri" w:cs="Calibri"/>
        </w:rPr>
        <w:t xml:space="preserve"> before maximum residue limits (MRLs)</w:t>
      </w:r>
      <w:r w:rsidR="003B6413">
        <w:rPr>
          <w:rFonts w:ascii="Calibri" w:hAnsi="Calibri" w:cs="Calibri"/>
        </w:rPr>
        <w:t xml:space="preserve"> are finalized. Similar</w:t>
      </w:r>
      <w:r w:rsidRPr="00461964">
        <w:rPr>
          <w:rFonts w:ascii="Calibri" w:hAnsi="Calibri" w:cs="Calibri"/>
        </w:rPr>
        <w:t xml:space="preserve"> interaction occurs </w:t>
      </w:r>
      <w:r w:rsidR="003B6413">
        <w:rPr>
          <w:rFonts w:ascii="Calibri" w:hAnsi="Calibri" w:cs="Calibri"/>
        </w:rPr>
        <w:t xml:space="preserve">when evaluating </w:t>
      </w:r>
      <w:r w:rsidRPr="00461964">
        <w:rPr>
          <w:rFonts w:ascii="Calibri" w:hAnsi="Calibri" w:cs="Calibri"/>
        </w:rPr>
        <w:t>vet</w:t>
      </w:r>
      <w:r w:rsidR="003B6413">
        <w:rPr>
          <w:rFonts w:ascii="Calibri" w:hAnsi="Calibri" w:cs="Calibri"/>
        </w:rPr>
        <w:t>erinary drug residues</w:t>
      </w:r>
      <w:r w:rsidRPr="00461964">
        <w:rPr>
          <w:rFonts w:ascii="Calibri" w:hAnsi="Calibri" w:cs="Calibri"/>
        </w:rPr>
        <w:t>.</w:t>
      </w:r>
    </w:p>
    <w:p w:rsidR="00A4253E" w:rsidRPr="00461964" w:rsidRDefault="00A4253E" w:rsidP="00201CE8">
      <w:pPr>
        <w:spacing w:line="240" w:lineRule="auto"/>
        <w:rPr>
          <w:rFonts w:ascii="Calibri" w:hAnsi="Calibri" w:cs="Calibri"/>
        </w:rPr>
      </w:pPr>
      <w:r w:rsidRPr="00461964">
        <w:rPr>
          <w:rFonts w:ascii="Calibri" w:hAnsi="Calibri" w:cs="Calibri"/>
        </w:rPr>
        <w:t xml:space="preserve">Toxicological assessments for pesticides and veterinary drugs are undertaken by DOHA/OCS, residue and exposure assessment is then performed by the APVMA. </w:t>
      </w:r>
      <w:r w:rsidRPr="00201CE8">
        <w:rPr>
          <w:rFonts w:ascii="Calibri" w:hAnsi="Calibri" w:cs="Calibri"/>
        </w:rPr>
        <w:t>Ad hoc</w:t>
      </w:r>
      <w:r w:rsidRPr="00461964">
        <w:rPr>
          <w:rFonts w:ascii="Calibri" w:hAnsi="Calibri" w:cs="Calibri"/>
        </w:rPr>
        <w:t xml:space="preserve"> input from FSANZ on the toxicological assessments is sometimes requested, e.g. </w:t>
      </w:r>
      <w:r w:rsidR="00F04CF7">
        <w:rPr>
          <w:rFonts w:ascii="Calibri" w:hAnsi="Calibri" w:cs="Calibri"/>
        </w:rPr>
        <w:t xml:space="preserve">the </w:t>
      </w:r>
      <w:r w:rsidRPr="00461964">
        <w:rPr>
          <w:rFonts w:ascii="Calibri" w:hAnsi="Calibri" w:cs="Calibri"/>
        </w:rPr>
        <w:t>dimethoate review. In special risk assessment cases</w:t>
      </w:r>
      <w:r w:rsidR="00F04CF7">
        <w:rPr>
          <w:rFonts w:ascii="Calibri" w:hAnsi="Calibri" w:cs="Calibri"/>
        </w:rPr>
        <w:t>,</w:t>
      </w:r>
      <w:r w:rsidR="00822A5B">
        <w:rPr>
          <w:rFonts w:ascii="Calibri" w:hAnsi="Calibri" w:cs="Calibri"/>
        </w:rPr>
        <w:t xml:space="preserve"> </w:t>
      </w:r>
      <w:r w:rsidR="00F04CF7">
        <w:rPr>
          <w:rFonts w:ascii="Calibri" w:hAnsi="Calibri" w:cs="Calibri"/>
        </w:rPr>
        <w:t xml:space="preserve">the </w:t>
      </w:r>
      <w:r w:rsidR="00822A5B">
        <w:rPr>
          <w:rFonts w:ascii="Calibri" w:hAnsi="Calibri" w:cs="Calibri"/>
        </w:rPr>
        <w:t>APVMA builds on existing FSANZ</w:t>
      </w:r>
      <w:r w:rsidRPr="00461964">
        <w:rPr>
          <w:rFonts w:ascii="Calibri" w:hAnsi="Calibri" w:cs="Calibri"/>
        </w:rPr>
        <w:t xml:space="preserve"> assessments, e.g. streptomycin in apples</w:t>
      </w:r>
      <w:r w:rsidR="00822A5B">
        <w:rPr>
          <w:rFonts w:ascii="Calibri" w:hAnsi="Calibri" w:cs="Calibri"/>
        </w:rPr>
        <w:t>,</w:t>
      </w:r>
      <w:r w:rsidRPr="00461964">
        <w:rPr>
          <w:rFonts w:ascii="Calibri" w:hAnsi="Calibri" w:cs="Calibri"/>
        </w:rPr>
        <w:t xml:space="preserve"> and collaborates with FSANZ scientist</w:t>
      </w:r>
      <w:r w:rsidR="00F04CF7">
        <w:rPr>
          <w:rFonts w:ascii="Calibri" w:hAnsi="Calibri" w:cs="Calibri"/>
        </w:rPr>
        <w:t>s</w:t>
      </w:r>
      <w:r w:rsidRPr="00461964">
        <w:rPr>
          <w:rFonts w:ascii="Calibri" w:hAnsi="Calibri" w:cs="Calibri"/>
        </w:rPr>
        <w:t xml:space="preserve"> before finalizing such assessments.  </w:t>
      </w:r>
    </w:p>
    <w:p w:rsidR="00A4253E" w:rsidRPr="00461964" w:rsidRDefault="00A4253E" w:rsidP="00201CE8">
      <w:pPr>
        <w:spacing w:line="240" w:lineRule="auto"/>
        <w:rPr>
          <w:rFonts w:ascii="Calibri" w:hAnsi="Calibri" w:cs="Calibri"/>
        </w:rPr>
      </w:pPr>
      <w:r w:rsidRPr="00461964">
        <w:rPr>
          <w:rFonts w:ascii="Calibri" w:hAnsi="Calibri" w:cs="Calibri"/>
        </w:rPr>
        <w:t>A strong aspect</w:t>
      </w:r>
      <w:r w:rsidR="001F2EAE">
        <w:rPr>
          <w:rFonts w:ascii="Calibri" w:hAnsi="Calibri" w:cs="Calibri"/>
        </w:rPr>
        <w:t xml:space="preserve"> of FSANZ risk assessment work </w:t>
      </w:r>
      <w:r w:rsidR="00F04CF7">
        <w:rPr>
          <w:rFonts w:ascii="Calibri" w:hAnsi="Calibri" w:cs="Calibri"/>
        </w:rPr>
        <w:t xml:space="preserve">is </w:t>
      </w:r>
      <w:r w:rsidRPr="00461964">
        <w:rPr>
          <w:rFonts w:ascii="Calibri" w:hAnsi="Calibri" w:cs="Calibri"/>
        </w:rPr>
        <w:t>that it is</w:t>
      </w:r>
      <w:r w:rsidR="00F04CF7">
        <w:rPr>
          <w:rFonts w:ascii="Calibri" w:hAnsi="Calibri" w:cs="Calibri"/>
        </w:rPr>
        <w:t xml:space="preserve"> seen as</w:t>
      </w:r>
      <w:r w:rsidRPr="00461964">
        <w:rPr>
          <w:rFonts w:ascii="Calibri" w:hAnsi="Calibri" w:cs="Calibri"/>
        </w:rPr>
        <w:t xml:space="preserve"> based on good science, the existence of a detailed science strategy and implementation plan, </w:t>
      </w:r>
      <w:r w:rsidR="00F04CF7">
        <w:rPr>
          <w:rFonts w:ascii="Calibri" w:hAnsi="Calibri" w:cs="Calibri"/>
        </w:rPr>
        <w:t xml:space="preserve">and </w:t>
      </w:r>
      <w:r w:rsidRPr="00461964">
        <w:rPr>
          <w:rFonts w:ascii="Calibri" w:hAnsi="Calibri" w:cs="Calibri"/>
        </w:rPr>
        <w:t xml:space="preserve">stakeholder input. </w:t>
      </w:r>
      <w:r w:rsidR="00F04CF7">
        <w:rPr>
          <w:rFonts w:ascii="Calibri" w:hAnsi="Calibri" w:cs="Calibri"/>
        </w:rPr>
        <w:t xml:space="preserve">In addition, </w:t>
      </w:r>
      <w:r w:rsidRPr="00461964">
        <w:rPr>
          <w:rFonts w:ascii="Calibri" w:hAnsi="Calibri" w:cs="Calibri"/>
        </w:rPr>
        <w:t>the website is seen as a</w:t>
      </w:r>
      <w:r w:rsidR="00D81C37" w:rsidRPr="00461964">
        <w:rPr>
          <w:rFonts w:ascii="Calibri" w:hAnsi="Calibri" w:cs="Calibri"/>
        </w:rPr>
        <w:t xml:space="preserve"> strong </w:t>
      </w:r>
      <w:r w:rsidR="000737ED">
        <w:rPr>
          <w:rFonts w:ascii="Calibri" w:hAnsi="Calibri" w:cs="Calibri"/>
        </w:rPr>
        <w:t>point</w:t>
      </w:r>
      <w:r w:rsidR="00D81C37" w:rsidRPr="00461964">
        <w:rPr>
          <w:rFonts w:ascii="Calibri" w:hAnsi="Calibri" w:cs="Calibri"/>
        </w:rPr>
        <w:t xml:space="preserve">. </w:t>
      </w:r>
    </w:p>
    <w:p w:rsidR="00A4253E" w:rsidRPr="00461964" w:rsidRDefault="001E47C1" w:rsidP="00201CE8">
      <w:pPr>
        <w:spacing w:line="240" w:lineRule="auto"/>
        <w:rPr>
          <w:rFonts w:ascii="Calibri" w:hAnsi="Calibri" w:cs="Calibri"/>
        </w:rPr>
      </w:pPr>
      <w:r>
        <w:rPr>
          <w:rFonts w:ascii="Calibri" w:hAnsi="Calibri" w:cs="Calibri"/>
        </w:rPr>
        <w:t>T</w:t>
      </w:r>
      <w:r w:rsidR="000737ED">
        <w:rPr>
          <w:rFonts w:ascii="Calibri" w:hAnsi="Calibri" w:cs="Calibri"/>
        </w:rPr>
        <w:t xml:space="preserve">he </w:t>
      </w:r>
      <w:r w:rsidR="00A4253E" w:rsidRPr="00461964">
        <w:rPr>
          <w:rFonts w:ascii="Calibri" w:hAnsi="Calibri" w:cs="Calibri"/>
        </w:rPr>
        <w:t xml:space="preserve">lack </w:t>
      </w:r>
      <w:r>
        <w:rPr>
          <w:rFonts w:ascii="Calibri" w:hAnsi="Calibri" w:cs="Calibri"/>
        </w:rPr>
        <w:t>of</w:t>
      </w:r>
      <w:r w:rsidR="00A4253E" w:rsidRPr="00461964">
        <w:rPr>
          <w:rFonts w:ascii="Calibri" w:hAnsi="Calibri" w:cs="Calibri"/>
        </w:rPr>
        <w:t xml:space="preserve"> clear responsibilities or </w:t>
      </w:r>
      <w:r>
        <w:rPr>
          <w:rFonts w:ascii="Calibri" w:hAnsi="Calibri" w:cs="Calibri"/>
        </w:rPr>
        <w:t xml:space="preserve">a </w:t>
      </w:r>
      <w:r w:rsidR="00A4253E" w:rsidRPr="00461964">
        <w:rPr>
          <w:rFonts w:ascii="Calibri" w:hAnsi="Calibri" w:cs="Calibri"/>
        </w:rPr>
        <w:t xml:space="preserve">legal framework between </w:t>
      </w:r>
      <w:r>
        <w:rPr>
          <w:rFonts w:ascii="Calibri" w:hAnsi="Calibri" w:cs="Calibri"/>
        </w:rPr>
        <w:t xml:space="preserve">the </w:t>
      </w:r>
      <w:r w:rsidR="00A4253E" w:rsidRPr="00461964">
        <w:rPr>
          <w:rFonts w:ascii="Calibri" w:hAnsi="Calibri" w:cs="Calibri"/>
        </w:rPr>
        <w:t>organizations in some specific areas, e.g. water re-use (in case of dr</w:t>
      </w:r>
      <w:r w:rsidR="000142CC">
        <w:rPr>
          <w:rFonts w:ascii="Calibri" w:hAnsi="Calibri" w:cs="Calibri"/>
        </w:rPr>
        <w:t>o</w:t>
      </w:r>
      <w:r w:rsidR="00A4253E" w:rsidRPr="00461964">
        <w:rPr>
          <w:rFonts w:ascii="Calibri" w:hAnsi="Calibri" w:cs="Calibri"/>
        </w:rPr>
        <w:t>ug</w:t>
      </w:r>
      <w:r w:rsidR="007E7DD8">
        <w:rPr>
          <w:rFonts w:ascii="Calibri" w:hAnsi="Calibri" w:cs="Calibri"/>
        </w:rPr>
        <w:t>ht)</w:t>
      </w:r>
      <w:r>
        <w:rPr>
          <w:rFonts w:ascii="Calibri" w:hAnsi="Calibri" w:cs="Calibri"/>
        </w:rPr>
        <w:t xml:space="preserve"> is seen as p</w:t>
      </w:r>
      <w:r w:rsidRPr="00461964">
        <w:rPr>
          <w:rFonts w:ascii="Calibri" w:hAnsi="Calibri" w:cs="Calibri"/>
        </w:rPr>
        <w:t>roblematic for the risk assessment area</w:t>
      </w:r>
      <w:r>
        <w:rPr>
          <w:rFonts w:ascii="Calibri" w:hAnsi="Calibri" w:cs="Calibri"/>
        </w:rPr>
        <w:t>.</w:t>
      </w:r>
    </w:p>
    <w:p w:rsidR="004D50DC" w:rsidRDefault="004D50DC" w:rsidP="00201CE8">
      <w:pPr>
        <w:pStyle w:val="Heading3"/>
      </w:pPr>
      <w:bookmarkStart w:id="110" w:name="_Toc332960039"/>
      <w:r>
        <w:t>Office of the Gene Technology Regulator (OGTR)</w:t>
      </w:r>
      <w:bookmarkEnd w:id="110"/>
    </w:p>
    <w:p w:rsidR="00432068" w:rsidRDefault="00432068" w:rsidP="00201CE8">
      <w:pPr>
        <w:spacing w:line="240" w:lineRule="auto"/>
        <w:rPr>
          <w:rFonts w:ascii="Calibri" w:hAnsi="Calibri" w:cs="Calibri"/>
        </w:rPr>
      </w:pPr>
      <w:r w:rsidRPr="00201CE8">
        <w:rPr>
          <w:rFonts w:ascii="Calibri" w:hAnsi="Calibri" w:cs="Calibri"/>
        </w:rPr>
        <w:t>The Gene Technology Regulator is the primary regulator in Australia for any dealings involving a genetically modified organism (GMO). A GMO is an organism that has been modified by gene technology; or that has inherited particular traits from an organism that has been modified by gene technology.</w:t>
      </w:r>
    </w:p>
    <w:p w:rsidR="004D50DC" w:rsidRPr="00461964" w:rsidRDefault="004D50DC" w:rsidP="00201CE8">
      <w:pPr>
        <w:spacing w:line="240" w:lineRule="auto"/>
        <w:rPr>
          <w:rFonts w:ascii="Calibri" w:hAnsi="Calibri" w:cs="Calibri"/>
        </w:rPr>
      </w:pPr>
      <w:r w:rsidRPr="00461964">
        <w:rPr>
          <w:rFonts w:ascii="Calibri" w:hAnsi="Calibri" w:cs="Calibri"/>
        </w:rPr>
        <w:lastRenderedPageBreak/>
        <w:t xml:space="preserve">OGTR has two branches, one </w:t>
      </w:r>
      <w:r w:rsidR="00F04CF7">
        <w:rPr>
          <w:rFonts w:ascii="Calibri" w:hAnsi="Calibri" w:cs="Calibri"/>
        </w:rPr>
        <w:t>which deals</w:t>
      </w:r>
      <w:r w:rsidRPr="00461964">
        <w:rPr>
          <w:rFonts w:ascii="Calibri" w:hAnsi="Calibri" w:cs="Calibri"/>
        </w:rPr>
        <w:t xml:space="preserve"> with the scientific assessment (risk assessment part) and one for monitoring (risk management part).</w:t>
      </w:r>
    </w:p>
    <w:p w:rsidR="00432068" w:rsidRPr="00201CE8" w:rsidRDefault="004D50DC" w:rsidP="00201CE8">
      <w:pPr>
        <w:spacing w:line="240" w:lineRule="auto"/>
        <w:rPr>
          <w:rFonts w:ascii="Calibri" w:hAnsi="Calibri" w:cs="Calibri"/>
        </w:rPr>
      </w:pPr>
      <w:r w:rsidRPr="00201CE8">
        <w:rPr>
          <w:rFonts w:ascii="Calibri" w:hAnsi="Calibri" w:cs="Calibri"/>
        </w:rPr>
        <w:t xml:space="preserve">There are many links with FSANZ, </w:t>
      </w:r>
      <w:r w:rsidR="00AB6F3E" w:rsidRPr="00201CE8">
        <w:rPr>
          <w:rFonts w:ascii="Calibri" w:hAnsi="Calibri" w:cs="Calibri"/>
        </w:rPr>
        <w:t xml:space="preserve">with long-standing good collaborations under an official MOU.  </w:t>
      </w:r>
      <w:r w:rsidR="00432068" w:rsidRPr="00201CE8">
        <w:rPr>
          <w:rFonts w:ascii="Calibri" w:hAnsi="Calibri" w:cs="Calibri"/>
        </w:rPr>
        <w:t>OGTR and FSANZ collaborate on GMOs with FSANZ being responsible for all GM food-related aspects irrespective of whether it is imported or domestically grown. For all other GMO matters the OGTR has sole responsibility. Under a ‘no-split use’ approval policy between OGTR and FSANZ, no GM crop will receive an approval for use as an animal feed but not for human food applications. This policy illustrates the importance of a close collaboration to avoid an occurrence of the ‘Starlink’ corn problem which occurred in the United States about a decade ago.</w:t>
      </w:r>
    </w:p>
    <w:p w:rsidR="000F73A5" w:rsidRPr="00201CE8" w:rsidRDefault="00432068" w:rsidP="00201CE8">
      <w:pPr>
        <w:spacing w:line="240" w:lineRule="auto"/>
        <w:rPr>
          <w:rFonts w:ascii="Calibri" w:hAnsi="Calibri" w:cs="Calibri"/>
        </w:rPr>
      </w:pPr>
      <w:r w:rsidRPr="00201CE8">
        <w:rPr>
          <w:rFonts w:ascii="Calibri" w:hAnsi="Calibri" w:cs="Calibri"/>
        </w:rPr>
        <w:t>As judged by a previous external assessment, FSANZ’s risk assessment science for GM food is considered to be strong. FSANZ is expected to consider all risk assessment aspects that have been raised globally on a specific GMO.</w:t>
      </w:r>
    </w:p>
    <w:p w:rsidR="001431C7" w:rsidRDefault="007B5A6E" w:rsidP="00453355">
      <w:pPr>
        <w:pStyle w:val="Heading2"/>
      </w:pPr>
      <w:bookmarkStart w:id="111" w:name="_Toc322935553"/>
      <w:bookmarkStart w:id="112" w:name="_Toc332960040"/>
      <w:r>
        <w:t>8.3</w:t>
      </w:r>
      <w:r w:rsidR="0082351E">
        <w:t xml:space="preserve">. </w:t>
      </w:r>
      <w:r w:rsidR="001431C7" w:rsidRPr="009B4C49">
        <w:t>Industry</w:t>
      </w:r>
      <w:bookmarkEnd w:id="111"/>
      <w:bookmarkEnd w:id="112"/>
    </w:p>
    <w:p w:rsidR="00217804" w:rsidRPr="00201CE8" w:rsidRDefault="00066667" w:rsidP="00201CE8">
      <w:pPr>
        <w:spacing w:line="240" w:lineRule="auto"/>
        <w:rPr>
          <w:rFonts w:ascii="Calibri" w:hAnsi="Calibri" w:cs="Calibri"/>
        </w:rPr>
      </w:pPr>
      <w:r w:rsidRPr="001E47C1">
        <w:rPr>
          <w:rFonts w:ascii="Calibri" w:hAnsi="Calibri" w:cs="Calibri"/>
        </w:rPr>
        <w:t xml:space="preserve">The </w:t>
      </w:r>
      <w:r w:rsidR="001D0391" w:rsidRPr="001E47C1">
        <w:rPr>
          <w:rFonts w:ascii="Calibri" w:hAnsi="Calibri" w:cs="Calibri"/>
        </w:rPr>
        <w:t>Australian Food and Grocery Council</w:t>
      </w:r>
      <w:r w:rsidR="00E0220D" w:rsidRPr="001E47C1">
        <w:rPr>
          <w:rFonts w:ascii="Calibri" w:hAnsi="Calibri" w:cs="Calibri"/>
        </w:rPr>
        <w:t xml:space="preserve"> (AFGC)</w:t>
      </w:r>
      <w:r w:rsidRPr="00201CE8">
        <w:footnoteReference w:id="4"/>
      </w:r>
      <w:r w:rsidRPr="001E47C1">
        <w:rPr>
          <w:rFonts w:ascii="Calibri" w:hAnsi="Calibri" w:cs="Calibri"/>
        </w:rPr>
        <w:t xml:space="preserve"> </w:t>
      </w:r>
      <w:proofErr w:type="gramStart"/>
      <w:r w:rsidRPr="001E47C1">
        <w:rPr>
          <w:rFonts w:ascii="Calibri" w:hAnsi="Calibri" w:cs="Calibri"/>
        </w:rPr>
        <w:t>represents</w:t>
      </w:r>
      <w:proofErr w:type="gramEnd"/>
      <w:r w:rsidR="001D0391" w:rsidRPr="001E47C1">
        <w:rPr>
          <w:rFonts w:ascii="Calibri" w:hAnsi="Calibri" w:cs="Calibri"/>
        </w:rPr>
        <w:t xml:space="preserve"> food and drinks manufacturers </w:t>
      </w:r>
      <w:r w:rsidRPr="001E47C1">
        <w:rPr>
          <w:rFonts w:ascii="Calibri" w:hAnsi="Calibri" w:cs="Calibri"/>
        </w:rPr>
        <w:t>of Australia.</w:t>
      </w:r>
      <w:r w:rsidR="001D0391" w:rsidRPr="001E47C1">
        <w:rPr>
          <w:rFonts w:ascii="Calibri" w:hAnsi="Calibri" w:cs="Calibri"/>
        </w:rPr>
        <w:t xml:space="preserve"> </w:t>
      </w:r>
      <w:r w:rsidR="00E0220D" w:rsidRPr="001E47C1">
        <w:rPr>
          <w:rFonts w:ascii="Calibri" w:hAnsi="Calibri" w:cs="Calibri"/>
        </w:rPr>
        <w:t>There is a</w:t>
      </w:r>
      <w:r w:rsidR="001D0391" w:rsidRPr="00912B75">
        <w:rPr>
          <w:rFonts w:ascii="Calibri" w:hAnsi="Calibri" w:cs="Calibri"/>
        </w:rPr>
        <w:t xml:space="preserve"> close and good working relationships with FSANZ, </w:t>
      </w:r>
      <w:r w:rsidR="00217804" w:rsidRPr="00912B75">
        <w:rPr>
          <w:rFonts w:ascii="Calibri" w:hAnsi="Calibri" w:cs="Calibri"/>
        </w:rPr>
        <w:t>less so on the regulatory role of FSANZ, but more on the operational role of FSANZ such as food recalls. Here FSANZ has an important nat</w:t>
      </w:r>
      <w:r w:rsidR="00F57FE9" w:rsidRPr="00912B75">
        <w:rPr>
          <w:rFonts w:ascii="Calibri" w:hAnsi="Calibri" w:cs="Calibri"/>
        </w:rPr>
        <w:t>iona</w:t>
      </w:r>
      <w:r w:rsidR="00217804" w:rsidRPr="00912B75">
        <w:rPr>
          <w:rFonts w:ascii="Calibri" w:hAnsi="Calibri" w:cs="Calibri"/>
        </w:rPr>
        <w:t>l role, and close interaction and networking is critical for rapid reaction.</w:t>
      </w:r>
    </w:p>
    <w:p w:rsidR="001D0391" w:rsidRPr="00461964" w:rsidRDefault="00032C0E" w:rsidP="00201CE8">
      <w:pPr>
        <w:spacing w:line="240" w:lineRule="auto"/>
        <w:rPr>
          <w:rFonts w:ascii="Calibri" w:hAnsi="Calibri" w:cs="Calibri"/>
        </w:rPr>
      </w:pPr>
      <w:r w:rsidRPr="001E47C1">
        <w:rPr>
          <w:rFonts w:ascii="Calibri" w:hAnsi="Calibri" w:cs="Calibri"/>
        </w:rPr>
        <w:t>It is seen that the risk assessment process</w:t>
      </w:r>
      <w:r w:rsidR="000142CC" w:rsidRPr="001E47C1">
        <w:rPr>
          <w:rFonts w:ascii="Calibri" w:hAnsi="Calibri" w:cs="Calibri"/>
        </w:rPr>
        <w:t xml:space="preserve"> has</w:t>
      </w:r>
      <w:r w:rsidRPr="001E47C1">
        <w:rPr>
          <w:rFonts w:ascii="Calibri" w:hAnsi="Calibri" w:cs="Calibri"/>
        </w:rPr>
        <w:t xml:space="preserve"> improved </w:t>
      </w:r>
      <w:r w:rsidR="00300BE3" w:rsidRPr="001E47C1">
        <w:rPr>
          <w:rFonts w:ascii="Calibri" w:hAnsi="Calibri" w:cs="Calibri"/>
        </w:rPr>
        <w:t xml:space="preserve">over the years, </w:t>
      </w:r>
      <w:r w:rsidRPr="001E47C1">
        <w:rPr>
          <w:rFonts w:ascii="Calibri" w:hAnsi="Calibri" w:cs="Calibri"/>
        </w:rPr>
        <w:t xml:space="preserve">with strengthened data requirements and improved turnaround time for applications. </w:t>
      </w:r>
      <w:r w:rsidR="00410DED" w:rsidRPr="00912B75">
        <w:rPr>
          <w:rFonts w:ascii="Calibri" w:hAnsi="Calibri" w:cs="Calibri"/>
        </w:rPr>
        <w:t>FSANZ is seen to have a strong and clear process, including consultation with stake</w:t>
      </w:r>
      <w:r w:rsidR="00300BE3" w:rsidRPr="00912B75">
        <w:rPr>
          <w:rFonts w:ascii="Calibri" w:hAnsi="Calibri" w:cs="Calibri"/>
        </w:rPr>
        <w:t>holder</w:t>
      </w:r>
      <w:r w:rsidR="00410DED" w:rsidRPr="00912B75">
        <w:rPr>
          <w:rFonts w:ascii="Calibri" w:hAnsi="Calibri" w:cs="Calibri"/>
        </w:rPr>
        <w:t>s</w:t>
      </w:r>
      <w:r w:rsidR="00300BE3" w:rsidRPr="00912B75">
        <w:rPr>
          <w:rFonts w:ascii="Calibri" w:hAnsi="Calibri" w:cs="Calibri"/>
        </w:rPr>
        <w:t>.</w:t>
      </w:r>
      <w:r w:rsidR="00D3130B" w:rsidRPr="00912B75">
        <w:rPr>
          <w:rFonts w:ascii="Calibri" w:hAnsi="Calibri" w:cs="Calibri"/>
        </w:rPr>
        <w:t xml:space="preserve"> </w:t>
      </w:r>
      <w:r w:rsidR="00D3130B" w:rsidRPr="00461964">
        <w:rPr>
          <w:rFonts w:ascii="Calibri" w:hAnsi="Calibri" w:cs="Calibri"/>
        </w:rPr>
        <w:t>However the process may be less transparent for controversial areas, such as biotechnology and health claims</w:t>
      </w:r>
      <w:r w:rsidR="006E06B1" w:rsidRPr="00461964">
        <w:rPr>
          <w:rFonts w:ascii="Calibri" w:hAnsi="Calibri" w:cs="Calibri"/>
        </w:rPr>
        <w:t>, where it is perceived that FSANZ</w:t>
      </w:r>
      <w:r w:rsidR="00E95B7B">
        <w:rPr>
          <w:rFonts w:ascii="Calibri" w:hAnsi="Calibri" w:cs="Calibri"/>
        </w:rPr>
        <w:t>’</w:t>
      </w:r>
      <w:r w:rsidR="006E06B1" w:rsidRPr="00461964">
        <w:rPr>
          <w:rFonts w:ascii="Calibri" w:hAnsi="Calibri" w:cs="Calibri"/>
        </w:rPr>
        <w:t xml:space="preserve">s risk assessment efforts may not always reflect the actual health concern. </w:t>
      </w:r>
      <w:r w:rsidR="001D0391" w:rsidRPr="00461964">
        <w:rPr>
          <w:rFonts w:ascii="Calibri" w:hAnsi="Calibri" w:cs="Calibri"/>
        </w:rPr>
        <w:t xml:space="preserve">Examples </w:t>
      </w:r>
      <w:r w:rsidR="000E03E4" w:rsidRPr="00461964">
        <w:rPr>
          <w:rFonts w:ascii="Calibri" w:hAnsi="Calibri" w:cs="Calibri"/>
        </w:rPr>
        <w:t>where</w:t>
      </w:r>
      <w:r w:rsidR="001D0391" w:rsidRPr="00461964">
        <w:rPr>
          <w:rFonts w:ascii="Calibri" w:hAnsi="Calibri" w:cs="Calibri"/>
        </w:rPr>
        <w:t xml:space="preserve"> </w:t>
      </w:r>
      <w:r w:rsidR="0093005D" w:rsidRPr="00461964">
        <w:rPr>
          <w:rFonts w:ascii="Calibri" w:hAnsi="Calibri" w:cs="Calibri"/>
        </w:rPr>
        <w:t xml:space="preserve">it was perceived that the </w:t>
      </w:r>
      <w:r w:rsidR="001D0391" w:rsidRPr="00461964">
        <w:rPr>
          <w:rFonts w:ascii="Calibri" w:hAnsi="Calibri" w:cs="Calibri"/>
        </w:rPr>
        <w:t>risk assessment was ‘overboard’ in relation to actual health concern</w:t>
      </w:r>
      <w:r w:rsidR="000E03E4" w:rsidRPr="00461964">
        <w:rPr>
          <w:rFonts w:ascii="Calibri" w:hAnsi="Calibri" w:cs="Calibri"/>
        </w:rPr>
        <w:t xml:space="preserve"> were cyanogenic glycosides in cassava </w:t>
      </w:r>
      <w:proofErr w:type="gramStart"/>
      <w:r w:rsidR="000E03E4" w:rsidRPr="00461964">
        <w:rPr>
          <w:rFonts w:ascii="Calibri" w:hAnsi="Calibri" w:cs="Calibri"/>
        </w:rPr>
        <w:t>chips,</w:t>
      </w:r>
      <w:proofErr w:type="gramEnd"/>
      <w:r w:rsidR="000E03E4" w:rsidRPr="00461964">
        <w:rPr>
          <w:rFonts w:ascii="Calibri" w:hAnsi="Calibri" w:cs="Calibri"/>
        </w:rPr>
        <w:t xml:space="preserve"> and oligosaccharides in infant formula. In the first case it was argued that voluntary measures may</w:t>
      </w:r>
      <w:r w:rsidR="003224DC" w:rsidRPr="00461964">
        <w:rPr>
          <w:rFonts w:ascii="Calibri" w:hAnsi="Calibri" w:cs="Calibri"/>
        </w:rPr>
        <w:t xml:space="preserve"> </w:t>
      </w:r>
      <w:r w:rsidR="000E03E4" w:rsidRPr="00461964">
        <w:rPr>
          <w:rFonts w:ascii="Calibri" w:hAnsi="Calibri" w:cs="Calibri"/>
        </w:rPr>
        <w:t xml:space="preserve">have been sufficient, and in the second </w:t>
      </w:r>
      <w:r w:rsidR="003224DC" w:rsidRPr="00461964">
        <w:rPr>
          <w:rFonts w:ascii="Calibri" w:hAnsi="Calibri" w:cs="Calibri"/>
        </w:rPr>
        <w:t>case</w:t>
      </w:r>
      <w:r w:rsidR="001F2EAE">
        <w:rPr>
          <w:rFonts w:ascii="Calibri" w:hAnsi="Calibri" w:cs="Calibri"/>
        </w:rPr>
        <w:t xml:space="preserve"> it was argued that it was </w:t>
      </w:r>
      <w:proofErr w:type="gramStart"/>
      <w:r w:rsidR="000E03E4" w:rsidRPr="00461964">
        <w:rPr>
          <w:rFonts w:ascii="Calibri" w:hAnsi="Calibri" w:cs="Calibri"/>
        </w:rPr>
        <w:t>a compliance</w:t>
      </w:r>
      <w:proofErr w:type="gramEnd"/>
      <w:r w:rsidR="000E03E4" w:rsidRPr="00461964">
        <w:rPr>
          <w:rFonts w:ascii="Calibri" w:hAnsi="Calibri" w:cs="Calibri"/>
        </w:rPr>
        <w:t xml:space="preserve"> </w:t>
      </w:r>
      <w:r w:rsidR="00102230">
        <w:rPr>
          <w:rFonts w:ascii="Calibri" w:hAnsi="Calibri" w:cs="Calibri"/>
        </w:rPr>
        <w:t xml:space="preserve">rather </w:t>
      </w:r>
      <w:r w:rsidR="000E03E4" w:rsidRPr="00461964">
        <w:rPr>
          <w:rFonts w:ascii="Calibri" w:hAnsi="Calibri" w:cs="Calibri"/>
        </w:rPr>
        <w:t>than a safety is</w:t>
      </w:r>
      <w:r w:rsidR="00610753" w:rsidRPr="00461964">
        <w:rPr>
          <w:rFonts w:ascii="Calibri" w:hAnsi="Calibri" w:cs="Calibri"/>
        </w:rPr>
        <w:t>sue</w:t>
      </w:r>
      <w:r w:rsidR="00102230">
        <w:rPr>
          <w:rFonts w:ascii="Calibri" w:hAnsi="Calibri" w:cs="Calibri"/>
        </w:rPr>
        <w:t>,</w:t>
      </w:r>
      <w:r w:rsidR="00610753" w:rsidRPr="00461964">
        <w:rPr>
          <w:rFonts w:ascii="Calibri" w:hAnsi="Calibri" w:cs="Calibri"/>
        </w:rPr>
        <w:t xml:space="preserve"> and regulatory measures imp</w:t>
      </w:r>
      <w:r w:rsidR="000E03E4" w:rsidRPr="00461964">
        <w:rPr>
          <w:rFonts w:ascii="Calibri" w:hAnsi="Calibri" w:cs="Calibri"/>
        </w:rPr>
        <w:t>lemented had big economic impacts.</w:t>
      </w:r>
    </w:p>
    <w:p w:rsidR="009347C3" w:rsidRPr="00912B75" w:rsidRDefault="000E03E4" w:rsidP="00201CE8">
      <w:pPr>
        <w:spacing w:line="240" w:lineRule="auto"/>
        <w:rPr>
          <w:rFonts w:ascii="Calibri" w:hAnsi="Calibri" w:cs="Calibri"/>
        </w:rPr>
      </w:pPr>
      <w:r w:rsidRPr="001E47C1">
        <w:rPr>
          <w:rFonts w:ascii="Calibri" w:hAnsi="Calibri" w:cs="Calibri"/>
        </w:rPr>
        <w:t xml:space="preserve">Overall </w:t>
      </w:r>
      <w:r w:rsidR="00610753" w:rsidRPr="001E47C1">
        <w:rPr>
          <w:rFonts w:ascii="Calibri" w:hAnsi="Calibri" w:cs="Calibri"/>
        </w:rPr>
        <w:t xml:space="preserve">it was argued that there is </w:t>
      </w:r>
      <w:r w:rsidR="00102230" w:rsidRPr="001E47C1">
        <w:rPr>
          <w:rFonts w:ascii="Calibri" w:hAnsi="Calibri" w:cs="Calibri"/>
        </w:rPr>
        <w:t xml:space="preserve">a </w:t>
      </w:r>
      <w:r w:rsidRPr="001E47C1">
        <w:rPr>
          <w:rFonts w:ascii="Calibri" w:hAnsi="Calibri" w:cs="Calibri"/>
        </w:rPr>
        <w:t>need for targeted risk assessments, i.e. proportional to actual health risk</w:t>
      </w:r>
      <w:r w:rsidR="00610753" w:rsidRPr="001E47C1">
        <w:rPr>
          <w:rFonts w:ascii="Calibri" w:hAnsi="Calibri" w:cs="Calibri"/>
        </w:rPr>
        <w:t xml:space="preserve"> and taking </w:t>
      </w:r>
      <w:r w:rsidR="001E47C1">
        <w:rPr>
          <w:rFonts w:ascii="Calibri" w:hAnsi="Calibri" w:cs="Calibri"/>
        </w:rPr>
        <w:t xml:space="preserve">the </w:t>
      </w:r>
      <w:r w:rsidR="003224DC" w:rsidRPr="001E47C1">
        <w:rPr>
          <w:rFonts w:ascii="Calibri" w:hAnsi="Calibri" w:cs="Calibri"/>
        </w:rPr>
        <w:t>economic impact of p</w:t>
      </w:r>
      <w:r w:rsidR="00610753" w:rsidRPr="001E47C1">
        <w:rPr>
          <w:rFonts w:ascii="Calibri" w:hAnsi="Calibri" w:cs="Calibri"/>
        </w:rPr>
        <w:t>r</w:t>
      </w:r>
      <w:r w:rsidR="003224DC" w:rsidRPr="001E47C1">
        <w:rPr>
          <w:rFonts w:ascii="Calibri" w:hAnsi="Calibri" w:cs="Calibri"/>
        </w:rPr>
        <w:t>o</w:t>
      </w:r>
      <w:r w:rsidR="00610753" w:rsidRPr="001E47C1">
        <w:rPr>
          <w:rFonts w:ascii="Calibri" w:hAnsi="Calibri" w:cs="Calibri"/>
        </w:rPr>
        <w:t>posed measures into account</w:t>
      </w:r>
      <w:r w:rsidR="003224DC" w:rsidRPr="001E47C1">
        <w:rPr>
          <w:rFonts w:ascii="Calibri" w:hAnsi="Calibri" w:cs="Calibri"/>
        </w:rPr>
        <w:t xml:space="preserve">, and that there </w:t>
      </w:r>
      <w:r w:rsidR="00D52D21" w:rsidRPr="001E47C1">
        <w:rPr>
          <w:rFonts w:ascii="Calibri" w:hAnsi="Calibri" w:cs="Calibri"/>
        </w:rPr>
        <w:t>needs to be a</w:t>
      </w:r>
      <w:r w:rsidR="003224DC" w:rsidRPr="001E47C1">
        <w:rPr>
          <w:rFonts w:ascii="Calibri" w:hAnsi="Calibri" w:cs="Calibri"/>
        </w:rPr>
        <w:t xml:space="preserve"> stronger role for the risk assessment in the regulatory decision making process</w:t>
      </w:r>
      <w:r w:rsidRPr="00912B75">
        <w:rPr>
          <w:rFonts w:ascii="Calibri" w:hAnsi="Calibri" w:cs="Calibri"/>
        </w:rPr>
        <w:t xml:space="preserve">.   </w:t>
      </w:r>
    </w:p>
    <w:p w:rsidR="009347C3" w:rsidRPr="00461964" w:rsidRDefault="009347C3" w:rsidP="00201CE8">
      <w:pPr>
        <w:spacing w:line="240" w:lineRule="auto"/>
        <w:rPr>
          <w:rFonts w:ascii="Calibri" w:hAnsi="Calibri" w:cs="Calibri"/>
        </w:rPr>
      </w:pPr>
      <w:r w:rsidRPr="00912B75">
        <w:rPr>
          <w:rFonts w:ascii="Calibri" w:hAnsi="Calibri" w:cs="Calibri"/>
        </w:rPr>
        <w:t xml:space="preserve">A </w:t>
      </w:r>
      <w:r w:rsidR="003224DC" w:rsidRPr="00912B75">
        <w:rPr>
          <w:rFonts w:ascii="Calibri" w:hAnsi="Calibri" w:cs="Calibri"/>
        </w:rPr>
        <w:t xml:space="preserve">specific </w:t>
      </w:r>
      <w:r w:rsidRPr="00912B75">
        <w:rPr>
          <w:rFonts w:ascii="Calibri" w:hAnsi="Calibri" w:cs="Calibri"/>
        </w:rPr>
        <w:t>concern that was raised refer</w:t>
      </w:r>
      <w:r w:rsidR="00102230" w:rsidRPr="00912B75">
        <w:rPr>
          <w:rFonts w:ascii="Calibri" w:hAnsi="Calibri" w:cs="Calibri"/>
        </w:rPr>
        <w:t>red</w:t>
      </w:r>
      <w:r w:rsidRPr="00912B75">
        <w:rPr>
          <w:rFonts w:ascii="Calibri" w:hAnsi="Calibri" w:cs="Calibri"/>
        </w:rPr>
        <w:t xml:space="preserve"> to the lack of a public voice and recognition of FSANZ nationally, especially in the risk assessment area. </w:t>
      </w:r>
      <w:r w:rsidR="003224DC" w:rsidRPr="00461964">
        <w:rPr>
          <w:rFonts w:ascii="Calibri" w:hAnsi="Calibri" w:cs="Calibri"/>
        </w:rPr>
        <w:t>Also, the need for a more prominent national role for FSANZ in risk communication was mentioned</w:t>
      </w:r>
      <w:r w:rsidR="009A59BF" w:rsidRPr="00461964">
        <w:rPr>
          <w:rFonts w:ascii="Calibri" w:hAnsi="Calibri" w:cs="Calibri"/>
        </w:rPr>
        <w:t xml:space="preserve">, i.e. the need for a more prominent public image and stronger national voice, as the leading independent national </w:t>
      </w:r>
      <w:r w:rsidR="00102230">
        <w:rPr>
          <w:rFonts w:ascii="Calibri" w:hAnsi="Calibri" w:cs="Calibri"/>
        </w:rPr>
        <w:t xml:space="preserve">food </w:t>
      </w:r>
      <w:r w:rsidR="009A59BF" w:rsidRPr="00461964">
        <w:rPr>
          <w:rFonts w:ascii="Calibri" w:hAnsi="Calibri" w:cs="Calibri"/>
        </w:rPr>
        <w:t>risk assessment authority.</w:t>
      </w:r>
    </w:p>
    <w:p w:rsidR="002A4296" w:rsidRPr="00461964" w:rsidRDefault="00D644C8" w:rsidP="00201CE8">
      <w:pPr>
        <w:spacing w:line="240" w:lineRule="auto"/>
        <w:rPr>
          <w:rFonts w:ascii="Calibri" w:hAnsi="Calibri" w:cs="Calibri"/>
        </w:rPr>
      </w:pPr>
      <w:r w:rsidRPr="00461964">
        <w:rPr>
          <w:rFonts w:ascii="Calibri" w:hAnsi="Calibri" w:cs="Calibri"/>
        </w:rPr>
        <w:t xml:space="preserve">Proposals for improvement in risk assessments were to have a stronger risk assessment for nutrition and fortification, with a need for more consideration of epidemiology and statistics and more interaction with toxicology. </w:t>
      </w:r>
      <w:r w:rsidR="00102230">
        <w:rPr>
          <w:rFonts w:ascii="Calibri" w:hAnsi="Calibri" w:cs="Calibri"/>
        </w:rPr>
        <w:t>In addition,</w:t>
      </w:r>
      <w:r w:rsidRPr="00461964">
        <w:rPr>
          <w:rFonts w:ascii="Calibri" w:hAnsi="Calibri" w:cs="Calibri"/>
        </w:rPr>
        <w:t xml:space="preserve"> more consideration should be given to different risk management options, including voluntary actions rather than regulation, e.g. for labelling.</w:t>
      </w:r>
      <w:r w:rsidR="00034EFC">
        <w:rPr>
          <w:rFonts w:ascii="Calibri" w:hAnsi="Calibri" w:cs="Calibri"/>
        </w:rPr>
        <w:t xml:space="preserve">  </w:t>
      </w:r>
    </w:p>
    <w:p w:rsidR="001D0391" w:rsidRPr="00461964" w:rsidRDefault="00D644C8" w:rsidP="00201CE8">
      <w:pPr>
        <w:spacing w:line="240" w:lineRule="auto"/>
        <w:rPr>
          <w:rFonts w:ascii="Calibri" w:hAnsi="Calibri" w:cs="Calibri"/>
        </w:rPr>
      </w:pPr>
      <w:r w:rsidRPr="00461964">
        <w:rPr>
          <w:rFonts w:ascii="Calibri" w:hAnsi="Calibri" w:cs="Calibri"/>
        </w:rPr>
        <w:t xml:space="preserve">Overall the </w:t>
      </w:r>
      <w:r w:rsidR="002A4296" w:rsidRPr="00461964">
        <w:rPr>
          <w:rFonts w:ascii="Calibri" w:hAnsi="Calibri" w:cs="Calibri"/>
        </w:rPr>
        <w:t xml:space="preserve">AFGC is </w:t>
      </w:r>
      <w:r w:rsidR="001D0391" w:rsidRPr="00461964">
        <w:rPr>
          <w:rFonts w:ascii="Calibri" w:hAnsi="Calibri" w:cs="Calibri"/>
        </w:rPr>
        <w:t>very suppo</w:t>
      </w:r>
      <w:r w:rsidRPr="00461964">
        <w:rPr>
          <w:rFonts w:ascii="Calibri" w:hAnsi="Calibri" w:cs="Calibri"/>
        </w:rPr>
        <w:t xml:space="preserve">rtive of </w:t>
      </w:r>
      <w:r w:rsidR="00102230">
        <w:rPr>
          <w:rFonts w:ascii="Calibri" w:hAnsi="Calibri" w:cs="Calibri"/>
        </w:rPr>
        <w:t xml:space="preserve">the </w:t>
      </w:r>
      <w:r w:rsidRPr="00461964">
        <w:rPr>
          <w:rFonts w:ascii="Calibri" w:hAnsi="Calibri" w:cs="Calibri"/>
        </w:rPr>
        <w:t>FSANZ</w:t>
      </w:r>
      <w:r w:rsidR="001D0391" w:rsidRPr="00461964">
        <w:rPr>
          <w:rFonts w:ascii="Calibri" w:hAnsi="Calibri" w:cs="Calibri"/>
        </w:rPr>
        <w:t xml:space="preserve"> </w:t>
      </w:r>
      <w:r w:rsidR="002A4296" w:rsidRPr="00461964">
        <w:rPr>
          <w:rFonts w:ascii="Calibri" w:hAnsi="Calibri" w:cs="Calibri"/>
        </w:rPr>
        <w:t>risk assessment</w:t>
      </w:r>
      <w:r w:rsidR="001D0391" w:rsidRPr="00461964">
        <w:rPr>
          <w:rFonts w:ascii="Calibri" w:hAnsi="Calibri" w:cs="Calibri"/>
        </w:rPr>
        <w:t xml:space="preserve"> process, but </w:t>
      </w:r>
      <w:r w:rsidRPr="00461964">
        <w:rPr>
          <w:rFonts w:ascii="Calibri" w:hAnsi="Calibri" w:cs="Calibri"/>
        </w:rPr>
        <w:t xml:space="preserve">there are </w:t>
      </w:r>
      <w:r w:rsidR="001D0391" w:rsidRPr="00461964">
        <w:rPr>
          <w:rFonts w:ascii="Calibri" w:hAnsi="Calibri" w:cs="Calibri"/>
        </w:rPr>
        <w:t>some areas</w:t>
      </w:r>
      <w:r w:rsidRPr="00461964">
        <w:rPr>
          <w:rFonts w:ascii="Calibri" w:hAnsi="Calibri" w:cs="Calibri"/>
        </w:rPr>
        <w:t xml:space="preserve"> of controversy where industry sees FSANZ to be </w:t>
      </w:r>
      <w:r w:rsidRPr="00B44ABE">
        <w:rPr>
          <w:rFonts w:ascii="Calibri" w:hAnsi="Calibri" w:cs="Calibri"/>
        </w:rPr>
        <w:t>too</w:t>
      </w:r>
      <w:r w:rsidR="00B44ABE">
        <w:rPr>
          <w:rFonts w:ascii="Calibri" w:hAnsi="Calibri" w:cs="Calibri"/>
        </w:rPr>
        <w:t xml:space="preserve"> ‘regulatory’</w:t>
      </w:r>
      <w:r w:rsidR="001D0391" w:rsidRPr="00B44ABE">
        <w:rPr>
          <w:rFonts w:ascii="Calibri" w:hAnsi="Calibri" w:cs="Calibri"/>
        </w:rPr>
        <w:t>,</w:t>
      </w:r>
      <w:r w:rsidR="001D0391" w:rsidRPr="00461964">
        <w:rPr>
          <w:rFonts w:ascii="Calibri" w:hAnsi="Calibri" w:cs="Calibri"/>
        </w:rPr>
        <w:t xml:space="preserve"> and </w:t>
      </w:r>
      <w:r w:rsidR="00B31E51" w:rsidRPr="00461964">
        <w:rPr>
          <w:rFonts w:ascii="Calibri" w:hAnsi="Calibri" w:cs="Calibri"/>
        </w:rPr>
        <w:t xml:space="preserve">concern was raised about the lack </w:t>
      </w:r>
      <w:r w:rsidR="00B31E51" w:rsidRPr="00461964">
        <w:rPr>
          <w:rFonts w:ascii="Calibri" w:hAnsi="Calibri" w:cs="Calibri"/>
        </w:rPr>
        <w:lastRenderedPageBreak/>
        <w:t xml:space="preserve">of </w:t>
      </w:r>
      <w:r w:rsidR="00102230">
        <w:rPr>
          <w:rFonts w:ascii="Calibri" w:hAnsi="Calibri" w:cs="Calibri"/>
        </w:rPr>
        <w:t xml:space="preserve">a </w:t>
      </w:r>
      <w:r w:rsidR="00B31E51" w:rsidRPr="00461964">
        <w:rPr>
          <w:rFonts w:ascii="Calibri" w:hAnsi="Calibri" w:cs="Calibri"/>
        </w:rPr>
        <w:t xml:space="preserve">public image of FSANZ as </w:t>
      </w:r>
      <w:r w:rsidR="00102230">
        <w:rPr>
          <w:rFonts w:ascii="Calibri" w:hAnsi="Calibri" w:cs="Calibri"/>
        </w:rPr>
        <w:t xml:space="preserve">the </w:t>
      </w:r>
      <w:r w:rsidR="00B31E51" w:rsidRPr="00461964">
        <w:rPr>
          <w:rFonts w:ascii="Calibri" w:hAnsi="Calibri" w:cs="Calibri"/>
        </w:rPr>
        <w:t xml:space="preserve">national risk assessment authority, and </w:t>
      </w:r>
      <w:r w:rsidR="001D0391" w:rsidRPr="00461964">
        <w:rPr>
          <w:rFonts w:ascii="Calibri" w:hAnsi="Calibri" w:cs="Calibri"/>
        </w:rPr>
        <w:t xml:space="preserve">sometimes </w:t>
      </w:r>
      <w:r w:rsidR="00B31E51" w:rsidRPr="00461964">
        <w:rPr>
          <w:rFonts w:ascii="Calibri" w:hAnsi="Calibri" w:cs="Calibri"/>
        </w:rPr>
        <w:t>in</w:t>
      </w:r>
      <w:r w:rsidR="001D0391" w:rsidRPr="00461964">
        <w:rPr>
          <w:rFonts w:ascii="Calibri" w:hAnsi="Calibri" w:cs="Calibri"/>
        </w:rPr>
        <w:t>su</w:t>
      </w:r>
      <w:r w:rsidR="00B31E51" w:rsidRPr="00461964">
        <w:rPr>
          <w:rFonts w:ascii="Calibri" w:hAnsi="Calibri" w:cs="Calibri"/>
        </w:rPr>
        <w:t>fficient consideration of the risk assessment</w:t>
      </w:r>
      <w:r w:rsidR="001D0391" w:rsidRPr="00461964">
        <w:rPr>
          <w:rFonts w:ascii="Calibri" w:hAnsi="Calibri" w:cs="Calibri"/>
        </w:rPr>
        <w:t xml:space="preserve"> outcome in </w:t>
      </w:r>
      <w:r w:rsidR="00B31E51" w:rsidRPr="00461964">
        <w:rPr>
          <w:rFonts w:ascii="Calibri" w:hAnsi="Calibri" w:cs="Calibri"/>
        </w:rPr>
        <w:t>the risk management</w:t>
      </w:r>
      <w:r w:rsidR="001D0391" w:rsidRPr="00461964">
        <w:rPr>
          <w:rFonts w:ascii="Calibri" w:hAnsi="Calibri" w:cs="Calibri"/>
        </w:rPr>
        <w:t xml:space="preserve"> decisions.</w:t>
      </w:r>
    </w:p>
    <w:p w:rsidR="002A4296" w:rsidRPr="00461964" w:rsidRDefault="002A4296" w:rsidP="00201CE8">
      <w:pPr>
        <w:spacing w:line="240" w:lineRule="auto"/>
        <w:rPr>
          <w:rFonts w:ascii="Calibri" w:hAnsi="Calibri" w:cs="Calibri"/>
        </w:rPr>
      </w:pPr>
      <w:r w:rsidRPr="00461964">
        <w:rPr>
          <w:rFonts w:ascii="Calibri" w:hAnsi="Calibri" w:cs="Calibri"/>
        </w:rPr>
        <w:t>While it is very important for FSANZ to have good working relationship with the industry sector, care has to be taken to not give an impression</w:t>
      </w:r>
      <w:r w:rsidR="00F25F6B">
        <w:rPr>
          <w:rFonts w:ascii="Calibri" w:hAnsi="Calibri" w:cs="Calibri"/>
        </w:rPr>
        <w:t xml:space="preserve"> or </w:t>
      </w:r>
      <w:r w:rsidR="0090082A" w:rsidRPr="00461964">
        <w:rPr>
          <w:rFonts w:ascii="Calibri" w:hAnsi="Calibri" w:cs="Calibri"/>
        </w:rPr>
        <w:t>perception</w:t>
      </w:r>
      <w:r w:rsidRPr="00461964">
        <w:rPr>
          <w:rFonts w:ascii="Calibri" w:hAnsi="Calibri" w:cs="Calibri"/>
        </w:rPr>
        <w:t xml:space="preserve"> of undue influence. This is achieved through a clear and transparent process of inter</w:t>
      </w:r>
      <w:r w:rsidR="0090082A" w:rsidRPr="00461964">
        <w:rPr>
          <w:rFonts w:ascii="Calibri" w:hAnsi="Calibri" w:cs="Calibri"/>
        </w:rPr>
        <w:t>action with the industry sector</w:t>
      </w:r>
      <w:r w:rsidR="0054673C" w:rsidRPr="00461964">
        <w:rPr>
          <w:rFonts w:ascii="Calibri" w:hAnsi="Calibri" w:cs="Calibri"/>
        </w:rPr>
        <w:t xml:space="preserve">. </w:t>
      </w:r>
      <w:r w:rsidRPr="00461964">
        <w:rPr>
          <w:rFonts w:ascii="Calibri" w:hAnsi="Calibri" w:cs="Calibri"/>
        </w:rPr>
        <w:t xml:space="preserve"> </w:t>
      </w:r>
    </w:p>
    <w:p w:rsidR="00334B3B" w:rsidRDefault="00334B3B" w:rsidP="00201CE8">
      <w:pPr>
        <w:spacing w:line="240" w:lineRule="auto"/>
        <w:rPr>
          <w:rFonts w:ascii="Calibri" w:hAnsi="Calibri" w:cs="Calibri"/>
        </w:rPr>
      </w:pPr>
      <w:r>
        <w:rPr>
          <w:rFonts w:ascii="Calibri" w:hAnsi="Calibri" w:cs="Calibri"/>
        </w:rPr>
        <w:br w:type="page"/>
      </w:r>
    </w:p>
    <w:p w:rsidR="001431C7" w:rsidRDefault="00060B1F" w:rsidP="00453355">
      <w:pPr>
        <w:pStyle w:val="Heading1"/>
      </w:pPr>
      <w:bookmarkStart w:id="113" w:name="_Toc322935554"/>
      <w:bookmarkStart w:id="114" w:name="_Toc332960041"/>
      <w:r>
        <w:lastRenderedPageBreak/>
        <w:t>9</w:t>
      </w:r>
      <w:r w:rsidR="00A4253E">
        <w:t xml:space="preserve">.  </w:t>
      </w:r>
      <w:r w:rsidR="000318F3">
        <w:t>Consolidated list of</w:t>
      </w:r>
      <w:r w:rsidR="001431C7" w:rsidRPr="009B4C49">
        <w:t xml:space="preserve"> recommendations:</w:t>
      </w:r>
      <w:bookmarkEnd w:id="113"/>
      <w:bookmarkEnd w:id="114"/>
    </w:p>
    <w:p w:rsidR="00615821" w:rsidRPr="00201CE8" w:rsidRDefault="00615821" w:rsidP="00201CE8">
      <w:pPr>
        <w:spacing w:line="240" w:lineRule="auto"/>
        <w:rPr>
          <w:rFonts w:ascii="Calibri" w:hAnsi="Calibri" w:cs="Calibri"/>
        </w:rPr>
      </w:pPr>
      <w:r w:rsidRPr="00201CE8">
        <w:rPr>
          <w:rFonts w:ascii="Calibri" w:hAnsi="Calibri" w:cs="Calibri"/>
        </w:rPr>
        <w:t>The following is a list of main recommendations</w:t>
      </w:r>
      <w:r w:rsidR="00B04D0A" w:rsidRPr="00201CE8">
        <w:rPr>
          <w:rFonts w:ascii="Calibri" w:hAnsi="Calibri" w:cs="Calibri"/>
        </w:rPr>
        <w:t xml:space="preserve">. Additional </w:t>
      </w:r>
      <w:r w:rsidR="00102230" w:rsidRPr="00201CE8">
        <w:rPr>
          <w:rFonts w:ascii="Calibri" w:hAnsi="Calibri" w:cs="Calibri"/>
        </w:rPr>
        <w:t xml:space="preserve">minor </w:t>
      </w:r>
      <w:r w:rsidR="00B04D0A" w:rsidRPr="00201CE8">
        <w:rPr>
          <w:rFonts w:ascii="Calibri" w:hAnsi="Calibri" w:cs="Calibri"/>
        </w:rPr>
        <w:t xml:space="preserve">suggestions are included in the text under the specific sections. </w:t>
      </w:r>
    </w:p>
    <w:p w:rsidR="00077763" w:rsidRPr="00077763" w:rsidRDefault="00077763" w:rsidP="00077763">
      <w:pPr>
        <w:rPr>
          <w:rFonts w:asciiTheme="minorHAnsi" w:hAnsiTheme="minorHAnsi" w:cstheme="minorHAnsi"/>
          <w:i/>
          <w:iCs/>
        </w:rPr>
      </w:pPr>
      <w:r w:rsidRPr="00077763">
        <w:rPr>
          <w:rFonts w:asciiTheme="minorHAnsi" w:hAnsiTheme="minorHAnsi" w:cstheme="minorHAnsi"/>
          <w:i/>
          <w:iCs/>
        </w:rPr>
        <w:t xml:space="preserve">Recommendations for improvement in the risk assessment process and documentation: </w:t>
      </w:r>
    </w:p>
    <w:p w:rsidR="00077763" w:rsidRPr="00077763" w:rsidRDefault="00077763" w:rsidP="00077763">
      <w:pPr>
        <w:pStyle w:val="ListParagraph"/>
        <w:numPr>
          <w:ilvl w:val="0"/>
          <w:numId w:val="30"/>
        </w:numPr>
        <w:rPr>
          <w:rFonts w:asciiTheme="minorHAnsi" w:hAnsiTheme="minorHAnsi" w:cstheme="minorHAnsi"/>
        </w:rPr>
      </w:pPr>
      <w:r w:rsidRPr="00077763">
        <w:rPr>
          <w:rFonts w:asciiTheme="minorHAnsi" w:hAnsiTheme="minorHAnsi" w:cstheme="minorHAnsi"/>
        </w:rPr>
        <w:t>Develop guidance for a tiered risk assessment approach, also for rapid risk assessments</w:t>
      </w:r>
      <w:r w:rsidR="00586FB6">
        <w:rPr>
          <w:rFonts w:asciiTheme="minorHAnsi" w:hAnsiTheme="minorHAnsi" w:cstheme="minorHAnsi"/>
        </w:rPr>
        <w:t xml:space="preserve">; </w:t>
      </w:r>
      <w:r w:rsidRPr="00077763">
        <w:rPr>
          <w:rFonts w:asciiTheme="minorHAnsi" w:hAnsiTheme="minorHAnsi" w:cstheme="minorHAnsi"/>
        </w:rPr>
        <w:t>including qualitative approaches</w:t>
      </w:r>
      <w:r w:rsidR="00586FB6">
        <w:rPr>
          <w:rFonts w:asciiTheme="minorHAnsi" w:hAnsiTheme="minorHAnsi" w:cstheme="minorHAnsi"/>
        </w:rPr>
        <w:t xml:space="preserve"> and</w:t>
      </w:r>
      <w:r w:rsidRPr="00077763">
        <w:rPr>
          <w:rFonts w:asciiTheme="minorHAnsi" w:hAnsiTheme="minorHAnsi" w:cstheme="minorHAnsi"/>
        </w:rPr>
        <w:t xml:space="preserve"> defining specific scenarios requiring a different level of detail in the risk assessment approach. </w:t>
      </w:r>
    </w:p>
    <w:p w:rsidR="00077763" w:rsidRPr="00077763" w:rsidRDefault="00077763" w:rsidP="00077763">
      <w:pPr>
        <w:pStyle w:val="ListParagraph"/>
        <w:numPr>
          <w:ilvl w:val="1"/>
          <w:numId w:val="30"/>
        </w:numPr>
        <w:rPr>
          <w:rFonts w:asciiTheme="minorHAnsi" w:hAnsiTheme="minorHAnsi" w:cstheme="minorHAnsi"/>
        </w:rPr>
      </w:pPr>
      <w:r w:rsidRPr="00077763">
        <w:rPr>
          <w:rFonts w:asciiTheme="minorHAnsi" w:hAnsiTheme="minorHAnsi" w:cstheme="minorHAnsi"/>
        </w:rPr>
        <w:t>Include decision criteria for qualitative rather than quantitative approaches for microbiological risk assessments, and when risk profiling rather than full risk assessments are sufficient.</w:t>
      </w:r>
    </w:p>
    <w:p w:rsidR="00077763" w:rsidRPr="00077763" w:rsidRDefault="00077763" w:rsidP="00077763">
      <w:pPr>
        <w:pStyle w:val="ListParagraph"/>
        <w:numPr>
          <w:ilvl w:val="1"/>
          <w:numId w:val="30"/>
        </w:numPr>
        <w:rPr>
          <w:rFonts w:asciiTheme="minorHAnsi" w:hAnsiTheme="minorHAnsi" w:cstheme="minorHAnsi"/>
        </w:rPr>
      </w:pPr>
      <w:r w:rsidRPr="00077763">
        <w:rPr>
          <w:rFonts w:asciiTheme="minorHAnsi" w:hAnsiTheme="minorHAnsi" w:cstheme="minorHAnsi"/>
        </w:rPr>
        <w:t xml:space="preserve">Include guidance on when, and to what extent and under what circumstances, existing authoritative risk assessments can be utilized. </w:t>
      </w:r>
    </w:p>
    <w:p w:rsidR="00077763" w:rsidRPr="00077763" w:rsidRDefault="00077763" w:rsidP="00077763">
      <w:pPr>
        <w:pStyle w:val="ListParagraph"/>
        <w:ind w:firstLine="284"/>
        <w:rPr>
          <w:rFonts w:asciiTheme="minorHAnsi" w:hAnsiTheme="minorHAnsi" w:cstheme="minorHAnsi"/>
        </w:rPr>
      </w:pPr>
    </w:p>
    <w:p w:rsidR="00077763" w:rsidRPr="00077763" w:rsidRDefault="00077763" w:rsidP="00077763">
      <w:pPr>
        <w:pStyle w:val="ListParagraph"/>
        <w:numPr>
          <w:ilvl w:val="0"/>
          <w:numId w:val="30"/>
        </w:numPr>
        <w:rPr>
          <w:rFonts w:asciiTheme="minorHAnsi" w:hAnsiTheme="minorHAnsi" w:cstheme="minorHAnsi"/>
        </w:rPr>
      </w:pPr>
      <w:r w:rsidRPr="00077763">
        <w:rPr>
          <w:rFonts w:asciiTheme="minorHAnsi" w:hAnsiTheme="minorHAnsi" w:cstheme="minorHAnsi"/>
        </w:rPr>
        <w:t xml:space="preserve">For combined (and complex) risk assessments, apply a clear and practical approach for early input from all relevant expertise early on in the risk assessment planning process. This could occur early in a consultative process with all available expertise (in particular special advisors e.g. in nutrition); and include ‘check-points’ throughout the risk assessment development process to make sure no aspect is overlooked, or decide whether some aspects can be dropped. </w:t>
      </w:r>
    </w:p>
    <w:p w:rsidR="00077763" w:rsidRPr="00077763" w:rsidRDefault="00077763" w:rsidP="00077763">
      <w:pPr>
        <w:pStyle w:val="ListParagraph"/>
        <w:ind w:firstLine="284"/>
        <w:rPr>
          <w:rFonts w:asciiTheme="minorHAnsi" w:hAnsiTheme="minorHAnsi" w:cstheme="minorHAnsi"/>
        </w:rPr>
      </w:pPr>
    </w:p>
    <w:p w:rsidR="00077763" w:rsidRPr="00077763" w:rsidRDefault="00077763" w:rsidP="00077763">
      <w:pPr>
        <w:pStyle w:val="ListParagraph"/>
        <w:numPr>
          <w:ilvl w:val="0"/>
          <w:numId w:val="30"/>
        </w:numPr>
        <w:rPr>
          <w:rFonts w:asciiTheme="minorHAnsi" w:hAnsiTheme="minorHAnsi" w:cstheme="minorHAnsi"/>
        </w:rPr>
      </w:pPr>
      <w:r w:rsidRPr="00077763">
        <w:rPr>
          <w:rFonts w:asciiTheme="minorHAnsi" w:hAnsiTheme="minorHAnsi" w:cstheme="minorHAnsi"/>
        </w:rPr>
        <w:t>Develop a template on report structure and content for combined risk assessment reports, which involve input from several disciplines, including a brief description of content and level of detail for each section, including examples (reference to existing reports).</w:t>
      </w:r>
    </w:p>
    <w:p w:rsidR="00077763" w:rsidRPr="00077763" w:rsidRDefault="00077763" w:rsidP="00077763">
      <w:pPr>
        <w:pStyle w:val="ListParagraph"/>
        <w:ind w:left="0" w:firstLine="284"/>
        <w:rPr>
          <w:rFonts w:asciiTheme="minorHAnsi" w:hAnsiTheme="minorHAnsi" w:cstheme="minorHAnsi"/>
        </w:rPr>
      </w:pPr>
    </w:p>
    <w:p w:rsidR="00077763" w:rsidRPr="00077763" w:rsidRDefault="00077763" w:rsidP="00077763">
      <w:pPr>
        <w:pStyle w:val="ListParagraph"/>
        <w:numPr>
          <w:ilvl w:val="0"/>
          <w:numId w:val="30"/>
        </w:numPr>
        <w:rPr>
          <w:rFonts w:asciiTheme="minorHAnsi" w:hAnsiTheme="minorHAnsi" w:cstheme="minorHAnsi"/>
        </w:rPr>
      </w:pPr>
      <w:r w:rsidRPr="00077763">
        <w:rPr>
          <w:rFonts w:asciiTheme="minorHAnsi" w:hAnsiTheme="minorHAnsi" w:cstheme="minorHAnsi"/>
        </w:rPr>
        <w:t xml:space="preserve">Strengthen the evidence base by introducing a systematic and transparent approach on evidence-retrieval (literature searches) and evaluation (grading) of the evidence (including criteria for ‘inclusion’ and ‘exclusion’) for all risk assessment areas. </w:t>
      </w:r>
    </w:p>
    <w:p w:rsidR="00077763" w:rsidRPr="00077763" w:rsidRDefault="00077763" w:rsidP="00077763">
      <w:pPr>
        <w:pStyle w:val="ListParagraph"/>
        <w:ind w:firstLine="284"/>
        <w:rPr>
          <w:rFonts w:asciiTheme="minorHAnsi" w:hAnsiTheme="minorHAnsi" w:cstheme="minorHAnsi"/>
        </w:rPr>
      </w:pPr>
    </w:p>
    <w:p w:rsidR="00077763" w:rsidRPr="00077763" w:rsidRDefault="00077763" w:rsidP="00077763">
      <w:pPr>
        <w:pStyle w:val="ListParagraph"/>
        <w:numPr>
          <w:ilvl w:val="0"/>
          <w:numId w:val="30"/>
        </w:numPr>
        <w:rPr>
          <w:rFonts w:asciiTheme="minorHAnsi" w:hAnsiTheme="minorHAnsi" w:cstheme="minorHAnsi"/>
        </w:rPr>
      </w:pPr>
      <w:r w:rsidRPr="00077763">
        <w:rPr>
          <w:rFonts w:asciiTheme="minorHAnsi" w:hAnsiTheme="minorHAnsi" w:cstheme="minorHAnsi"/>
        </w:rPr>
        <w:t>Develop guidance on how to balance risks and benefits in risk assessments.</w:t>
      </w:r>
    </w:p>
    <w:p w:rsidR="00077763" w:rsidRDefault="00077763" w:rsidP="00077763">
      <w:pPr>
        <w:spacing w:line="276" w:lineRule="auto"/>
        <w:rPr>
          <w:rFonts w:asciiTheme="minorHAnsi" w:hAnsiTheme="minorHAnsi" w:cstheme="minorHAnsi"/>
        </w:rPr>
      </w:pPr>
    </w:p>
    <w:p w:rsidR="00077763" w:rsidRPr="00077763" w:rsidRDefault="00077763" w:rsidP="00077763">
      <w:pPr>
        <w:spacing w:line="276" w:lineRule="auto"/>
        <w:rPr>
          <w:rFonts w:asciiTheme="minorHAnsi" w:hAnsiTheme="minorHAnsi" w:cstheme="minorHAnsi"/>
        </w:rPr>
      </w:pPr>
      <w:r w:rsidRPr="00077763">
        <w:rPr>
          <w:rFonts w:asciiTheme="minorHAnsi" w:hAnsiTheme="minorHAnsi" w:cstheme="minorHAnsi"/>
          <w:i/>
          <w:iCs/>
        </w:rPr>
        <w:t>Recommendations related to scientific competence:</w:t>
      </w:r>
    </w:p>
    <w:p w:rsidR="00077763" w:rsidRPr="00077763" w:rsidRDefault="00077763" w:rsidP="00077763">
      <w:pPr>
        <w:pStyle w:val="ListParagraph"/>
        <w:numPr>
          <w:ilvl w:val="0"/>
          <w:numId w:val="30"/>
        </w:numPr>
        <w:spacing w:after="100" w:afterAutospacing="1"/>
        <w:rPr>
          <w:rFonts w:asciiTheme="minorHAnsi" w:hAnsiTheme="minorHAnsi" w:cstheme="minorHAnsi"/>
        </w:rPr>
      </w:pPr>
      <w:r w:rsidRPr="00077763">
        <w:rPr>
          <w:rFonts w:asciiTheme="minorHAnsi" w:hAnsiTheme="minorHAnsi" w:cstheme="minorHAnsi"/>
        </w:rPr>
        <w:t>Consider the need for additional competence in epidemiology and statistics, to be used across all disciplines, for improved data mining (e.g. surveillance data) and improved integration of all data in risk assessment.</w:t>
      </w:r>
    </w:p>
    <w:p w:rsidR="00077763" w:rsidRPr="00077763" w:rsidRDefault="00077763" w:rsidP="00077763">
      <w:pPr>
        <w:pStyle w:val="ListParagraph"/>
        <w:spacing w:after="100" w:afterAutospacing="1"/>
        <w:ind w:left="714" w:firstLine="284"/>
        <w:rPr>
          <w:rFonts w:asciiTheme="minorHAnsi" w:hAnsiTheme="minorHAnsi" w:cstheme="minorHAnsi"/>
        </w:rPr>
      </w:pPr>
    </w:p>
    <w:p w:rsidR="00077763" w:rsidRPr="00077763" w:rsidRDefault="00077763" w:rsidP="00077763">
      <w:pPr>
        <w:pStyle w:val="ListParagraph"/>
        <w:numPr>
          <w:ilvl w:val="0"/>
          <w:numId w:val="30"/>
        </w:numPr>
        <w:spacing w:after="100" w:afterAutospacing="1"/>
        <w:rPr>
          <w:rFonts w:asciiTheme="minorHAnsi" w:hAnsiTheme="minorHAnsi" w:cstheme="minorHAnsi"/>
        </w:rPr>
      </w:pPr>
      <w:r w:rsidRPr="00077763">
        <w:rPr>
          <w:rFonts w:asciiTheme="minorHAnsi" w:hAnsiTheme="minorHAnsi" w:cstheme="minorHAnsi"/>
        </w:rPr>
        <w:t xml:space="preserve">Consider the need to undertake efforts to improve the public image of FSANZ in terms of scientific competence. </w:t>
      </w:r>
    </w:p>
    <w:p w:rsidR="00077763" w:rsidRPr="00077763" w:rsidRDefault="00077763" w:rsidP="00077763">
      <w:pPr>
        <w:pStyle w:val="ListParagraph"/>
        <w:ind w:firstLine="284"/>
        <w:rPr>
          <w:rFonts w:asciiTheme="minorHAnsi" w:hAnsiTheme="minorHAnsi" w:cstheme="minorHAnsi"/>
        </w:rPr>
      </w:pPr>
    </w:p>
    <w:p w:rsidR="00077763" w:rsidRDefault="00077763" w:rsidP="00201CE8">
      <w:pPr>
        <w:pStyle w:val="ListParagraph"/>
        <w:numPr>
          <w:ilvl w:val="0"/>
          <w:numId w:val="30"/>
        </w:numPr>
        <w:rPr>
          <w:rFonts w:asciiTheme="minorHAnsi" w:hAnsiTheme="minorHAnsi" w:cstheme="minorHAnsi"/>
        </w:rPr>
      </w:pPr>
      <w:r w:rsidRPr="00077763">
        <w:rPr>
          <w:rFonts w:asciiTheme="minorHAnsi" w:hAnsiTheme="minorHAnsi" w:cstheme="minorHAnsi"/>
        </w:rPr>
        <w:t xml:space="preserve">Continue to ensure a high level of staff training and to provide opportunities to retain scientific staff experienced in risk assessment. </w:t>
      </w:r>
    </w:p>
    <w:p w:rsidR="00201CE8" w:rsidRPr="00201CE8" w:rsidRDefault="00201CE8" w:rsidP="00201CE8">
      <w:pPr>
        <w:pStyle w:val="ListParagraph"/>
        <w:rPr>
          <w:rFonts w:asciiTheme="minorHAnsi" w:hAnsiTheme="minorHAnsi" w:cstheme="minorHAnsi"/>
        </w:rPr>
      </w:pPr>
    </w:p>
    <w:p w:rsidR="00201CE8" w:rsidRDefault="00201CE8" w:rsidP="00201CE8">
      <w:pPr>
        <w:rPr>
          <w:rFonts w:asciiTheme="minorHAnsi" w:hAnsiTheme="minorHAnsi" w:cstheme="minorHAnsi"/>
        </w:rPr>
      </w:pPr>
    </w:p>
    <w:p w:rsidR="00201CE8" w:rsidRPr="00201CE8" w:rsidRDefault="00201CE8" w:rsidP="00201CE8">
      <w:pPr>
        <w:rPr>
          <w:rFonts w:asciiTheme="minorHAnsi" w:hAnsiTheme="minorHAnsi" w:cstheme="minorHAnsi"/>
        </w:rPr>
      </w:pPr>
    </w:p>
    <w:p w:rsidR="00077763" w:rsidRPr="00077763" w:rsidRDefault="00077763" w:rsidP="00201CE8">
      <w:pPr>
        <w:rPr>
          <w:rFonts w:asciiTheme="minorHAnsi" w:hAnsiTheme="minorHAnsi" w:cstheme="minorHAnsi"/>
          <w:i/>
          <w:iCs/>
        </w:rPr>
      </w:pPr>
      <w:r w:rsidRPr="00077763">
        <w:rPr>
          <w:rFonts w:asciiTheme="minorHAnsi" w:hAnsiTheme="minorHAnsi" w:cstheme="minorHAnsi"/>
          <w:i/>
          <w:iCs/>
        </w:rPr>
        <w:lastRenderedPageBreak/>
        <w:t>Recommendation related to transparency and prioritization:</w:t>
      </w:r>
    </w:p>
    <w:p w:rsidR="00077763" w:rsidRPr="00077763" w:rsidRDefault="00077763" w:rsidP="00077763">
      <w:pPr>
        <w:pStyle w:val="ListParagraph"/>
        <w:numPr>
          <w:ilvl w:val="0"/>
          <w:numId w:val="30"/>
        </w:numPr>
        <w:rPr>
          <w:rFonts w:asciiTheme="minorHAnsi" w:hAnsiTheme="minorHAnsi" w:cstheme="minorHAnsi"/>
        </w:rPr>
      </w:pPr>
      <w:r w:rsidRPr="00077763">
        <w:rPr>
          <w:rFonts w:asciiTheme="minorHAnsi" w:hAnsiTheme="minorHAnsi" w:cstheme="minorHAnsi"/>
        </w:rPr>
        <w:t xml:space="preserve">There is a need for a clearer/more transparent prioritization process for all work, including those that are decided at the section level. </w:t>
      </w:r>
    </w:p>
    <w:p w:rsidR="00077763" w:rsidRPr="00077763" w:rsidRDefault="00077763" w:rsidP="00077763">
      <w:pPr>
        <w:pStyle w:val="ListParagraph"/>
        <w:ind w:left="1080" w:firstLine="284"/>
        <w:rPr>
          <w:rFonts w:asciiTheme="minorHAnsi" w:hAnsiTheme="minorHAnsi" w:cstheme="minorHAnsi"/>
        </w:rPr>
      </w:pPr>
    </w:p>
    <w:p w:rsidR="00077763" w:rsidRPr="00077763" w:rsidRDefault="00077763" w:rsidP="00077763">
      <w:pPr>
        <w:pStyle w:val="ListParagraph"/>
        <w:numPr>
          <w:ilvl w:val="0"/>
          <w:numId w:val="30"/>
        </w:numPr>
        <w:rPr>
          <w:rFonts w:asciiTheme="minorHAnsi" w:hAnsiTheme="minorHAnsi" w:cstheme="minorHAnsi"/>
        </w:rPr>
      </w:pPr>
      <w:r w:rsidRPr="00077763">
        <w:rPr>
          <w:rFonts w:asciiTheme="minorHAnsi" w:hAnsiTheme="minorHAnsi" w:cstheme="minorHAnsi"/>
        </w:rPr>
        <w:t xml:space="preserve">Establish a simple ‘scoping/request’ form to require the requester, for example, Australian </w:t>
      </w:r>
      <w:r w:rsidR="00912B75">
        <w:rPr>
          <w:rFonts w:asciiTheme="minorHAnsi" w:hAnsiTheme="minorHAnsi" w:cstheme="minorHAnsi"/>
        </w:rPr>
        <w:t>s</w:t>
      </w:r>
      <w:r w:rsidRPr="00077763">
        <w:rPr>
          <w:rFonts w:asciiTheme="minorHAnsi" w:hAnsiTheme="minorHAnsi" w:cstheme="minorHAnsi"/>
        </w:rPr>
        <w:t xml:space="preserve">tate and </w:t>
      </w:r>
      <w:r w:rsidR="00912B75">
        <w:rPr>
          <w:rFonts w:asciiTheme="minorHAnsi" w:hAnsiTheme="minorHAnsi" w:cstheme="minorHAnsi"/>
        </w:rPr>
        <w:t>t</w:t>
      </w:r>
      <w:r w:rsidRPr="00077763">
        <w:rPr>
          <w:rFonts w:asciiTheme="minorHAnsi" w:hAnsiTheme="minorHAnsi" w:cstheme="minorHAnsi"/>
        </w:rPr>
        <w:t>erritory jurisdictions, to clearly formulate the risk assessment need and to provide appropriate information and data. This will also allow FSANZ to estimate resource needs, and consider additional work as well as to prioritize the request.</w:t>
      </w:r>
    </w:p>
    <w:p w:rsidR="00077763" w:rsidRPr="00077763" w:rsidRDefault="00077763" w:rsidP="00077763">
      <w:pPr>
        <w:pStyle w:val="ListParagraph"/>
        <w:spacing w:after="240"/>
        <w:ind w:firstLine="284"/>
        <w:rPr>
          <w:rFonts w:asciiTheme="minorHAnsi" w:hAnsiTheme="minorHAnsi" w:cstheme="minorHAnsi"/>
        </w:rPr>
      </w:pPr>
    </w:p>
    <w:p w:rsidR="00077763" w:rsidRPr="00077763" w:rsidRDefault="00077763" w:rsidP="00077763">
      <w:pPr>
        <w:spacing w:after="240"/>
        <w:rPr>
          <w:rFonts w:asciiTheme="minorHAnsi" w:hAnsiTheme="minorHAnsi" w:cstheme="minorHAnsi"/>
          <w:i/>
          <w:iCs/>
        </w:rPr>
      </w:pPr>
      <w:r w:rsidRPr="00077763">
        <w:rPr>
          <w:rFonts w:asciiTheme="minorHAnsi" w:hAnsiTheme="minorHAnsi" w:cstheme="minorHAnsi"/>
          <w:i/>
          <w:iCs/>
        </w:rPr>
        <w:t>Recommendations regarding external peer reviews:</w:t>
      </w:r>
    </w:p>
    <w:p w:rsidR="00077763" w:rsidRPr="00077763" w:rsidRDefault="00077763" w:rsidP="00077763">
      <w:pPr>
        <w:pStyle w:val="ListParagraph"/>
        <w:numPr>
          <w:ilvl w:val="0"/>
          <w:numId w:val="30"/>
        </w:numPr>
        <w:spacing w:after="240"/>
        <w:rPr>
          <w:rFonts w:asciiTheme="minorHAnsi" w:hAnsiTheme="minorHAnsi" w:cstheme="minorHAnsi"/>
        </w:rPr>
      </w:pPr>
      <w:r w:rsidRPr="00077763">
        <w:rPr>
          <w:rFonts w:asciiTheme="minorHAnsi" w:hAnsiTheme="minorHAnsi" w:cstheme="minorHAnsi"/>
        </w:rPr>
        <w:t>Establish a process, including rationale, for when and how external reviews should be undertaken.</w:t>
      </w:r>
    </w:p>
    <w:p w:rsidR="00077763" w:rsidRPr="00077763" w:rsidRDefault="00077763" w:rsidP="00077763">
      <w:pPr>
        <w:pStyle w:val="ListParagraph"/>
        <w:spacing w:after="240"/>
        <w:rPr>
          <w:rFonts w:asciiTheme="minorHAnsi" w:hAnsiTheme="minorHAnsi" w:cstheme="minorHAnsi"/>
        </w:rPr>
      </w:pPr>
    </w:p>
    <w:p w:rsidR="00077763" w:rsidRPr="00077763" w:rsidRDefault="00077763" w:rsidP="00077763">
      <w:pPr>
        <w:pStyle w:val="ListParagraph"/>
        <w:numPr>
          <w:ilvl w:val="0"/>
          <w:numId w:val="30"/>
        </w:numPr>
        <w:spacing w:after="240"/>
        <w:rPr>
          <w:rFonts w:asciiTheme="minorHAnsi" w:hAnsiTheme="minorHAnsi" w:cstheme="minorHAnsi"/>
        </w:rPr>
      </w:pPr>
      <w:r w:rsidRPr="00077763">
        <w:rPr>
          <w:rFonts w:asciiTheme="minorHAnsi" w:hAnsiTheme="minorHAnsi" w:cstheme="minorHAnsi"/>
        </w:rPr>
        <w:t>Establish a Declaration of Interest form and evaluation process for reviewers and FSANZ fellows.</w:t>
      </w:r>
    </w:p>
    <w:p w:rsidR="00077763" w:rsidRPr="00077763" w:rsidRDefault="00077763" w:rsidP="00077763">
      <w:pPr>
        <w:rPr>
          <w:rFonts w:asciiTheme="minorHAnsi" w:hAnsiTheme="minorHAnsi" w:cstheme="minorHAnsi"/>
          <w:i/>
          <w:iCs/>
        </w:rPr>
      </w:pPr>
      <w:r w:rsidRPr="00077763">
        <w:rPr>
          <w:rFonts w:asciiTheme="minorHAnsi" w:hAnsiTheme="minorHAnsi" w:cstheme="minorHAnsi"/>
          <w:i/>
          <w:iCs/>
        </w:rPr>
        <w:t>Recommendation regarding the interaction between risk assessment and risk management:</w:t>
      </w:r>
    </w:p>
    <w:p w:rsidR="00077763" w:rsidRPr="00077763" w:rsidRDefault="00077763" w:rsidP="00077763">
      <w:pPr>
        <w:pStyle w:val="ListParagraph"/>
        <w:numPr>
          <w:ilvl w:val="0"/>
          <w:numId w:val="30"/>
        </w:numPr>
        <w:spacing w:after="120"/>
        <w:rPr>
          <w:rFonts w:asciiTheme="minorHAnsi" w:hAnsiTheme="minorHAnsi" w:cstheme="minorHAnsi"/>
        </w:rPr>
      </w:pPr>
      <w:r w:rsidRPr="00077763">
        <w:rPr>
          <w:rFonts w:asciiTheme="minorHAnsi" w:hAnsiTheme="minorHAnsi" w:cstheme="minorHAnsi"/>
        </w:rPr>
        <w:t>Increase the transparency in the risk management decision-making process.</w:t>
      </w:r>
    </w:p>
    <w:p w:rsidR="00077763" w:rsidRPr="00077763" w:rsidRDefault="00077763" w:rsidP="00077763">
      <w:pPr>
        <w:pStyle w:val="ListParagraph"/>
        <w:spacing w:after="120"/>
        <w:ind w:left="1004"/>
        <w:rPr>
          <w:rFonts w:asciiTheme="minorHAnsi" w:hAnsiTheme="minorHAnsi" w:cstheme="minorHAnsi"/>
        </w:rPr>
      </w:pPr>
    </w:p>
    <w:p w:rsidR="00077763" w:rsidRPr="00077763" w:rsidRDefault="00077763" w:rsidP="00077763">
      <w:pPr>
        <w:pStyle w:val="ListParagraph"/>
        <w:numPr>
          <w:ilvl w:val="0"/>
          <w:numId w:val="30"/>
        </w:numPr>
        <w:spacing w:after="120"/>
        <w:rPr>
          <w:rFonts w:asciiTheme="minorHAnsi" w:hAnsiTheme="minorHAnsi" w:cstheme="minorHAnsi"/>
        </w:rPr>
      </w:pPr>
      <w:r w:rsidRPr="00077763">
        <w:rPr>
          <w:rFonts w:asciiTheme="minorHAnsi" w:hAnsiTheme="minorHAnsi" w:cstheme="minorHAnsi"/>
        </w:rPr>
        <w:t>Consideration may be given to the establishment of a monitoring and evaluation framework for key public health issues, subject to priorities and available resources.</w:t>
      </w:r>
    </w:p>
    <w:p w:rsidR="00077763" w:rsidRPr="00077763" w:rsidRDefault="00077763" w:rsidP="00077763">
      <w:pPr>
        <w:pStyle w:val="ListParagraph"/>
        <w:rPr>
          <w:rFonts w:asciiTheme="minorHAnsi" w:hAnsiTheme="minorHAnsi" w:cstheme="minorHAnsi"/>
        </w:rPr>
      </w:pPr>
    </w:p>
    <w:p w:rsidR="00615821" w:rsidRPr="00077763" w:rsidRDefault="00077763" w:rsidP="00077763">
      <w:pPr>
        <w:pStyle w:val="ListParagraph"/>
        <w:numPr>
          <w:ilvl w:val="0"/>
          <w:numId w:val="30"/>
        </w:numPr>
        <w:spacing w:after="120"/>
        <w:rPr>
          <w:rFonts w:asciiTheme="minorHAnsi" w:hAnsiTheme="minorHAnsi" w:cstheme="minorHAnsi"/>
        </w:rPr>
      </w:pPr>
      <w:r w:rsidRPr="00077763">
        <w:rPr>
          <w:rFonts w:asciiTheme="minorHAnsi" w:hAnsiTheme="minorHAnsi" w:cstheme="minorHAnsi"/>
        </w:rPr>
        <w:t>Develop guidance on how to express uncertainty in risk assessment and for proper consideration of such uncertainties in the risk management decision-making process.</w:t>
      </w:r>
    </w:p>
    <w:p w:rsidR="00077763" w:rsidRDefault="00077763" w:rsidP="003B2DBB">
      <w:pPr>
        <w:ind w:firstLine="284"/>
        <w:rPr>
          <w:rFonts w:asciiTheme="minorHAnsi" w:hAnsiTheme="minorHAnsi" w:cstheme="minorHAnsi"/>
        </w:rPr>
      </w:pPr>
    </w:p>
    <w:p w:rsidR="00615821" w:rsidRPr="00201CE8" w:rsidRDefault="00615821" w:rsidP="00201CE8">
      <w:pPr>
        <w:spacing w:line="240" w:lineRule="auto"/>
        <w:rPr>
          <w:rFonts w:ascii="Calibri" w:hAnsi="Calibri" w:cs="Calibri"/>
        </w:rPr>
      </w:pPr>
      <w:r w:rsidRPr="00201CE8">
        <w:rPr>
          <w:rFonts w:ascii="Calibri" w:hAnsi="Calibri" w:cs="Calibri"/>
        </w:rPr>
        <w:t xml:space="preserve">It is important to note that the recommendations listed above for development of further tools and guidance </w:t>
      </w:r>
      <w:r w:rsidR="00912B75">
        <w:rPr>
          <w:rFonts w:ascii="Calibri" w:hAnsi="Calibri" w:cs="Calibri"/>
        </w:rPr>
        <w:t>are intended</w:t>
      </w:r>
      <w:r w:rsidRPr="00201CE8">
        <w:rPr>
          <w:rFonts w:ascii="Calibri" w:hAnsi="Calibri" w:cs="Calibri"/>
        </w:rPr>
        <w:t xml:space="preserve"> to help risk assessors and also </w:t>
      </w:r>
      <w:r w:rsidR="001001C2" w:rsidRPr="00201CE8">
        <w:rPr>
          <w:rFonts w:ascii="Calibri" w:hAnsi="Calibri" w:cs="Calibri"/>
        </w:rPr>
        <w:t>en</w:t>
      </w:r>
      <w:r w:rsidRPr="00201CE8">
        <w:rPr>
          <w:rFonts w:ascii="Calibri" w:hAnsi="Calibri" w:cs="Calibri"/>
        </w:rPr>
        <w:t xml:space="preserve">sure a consistent and transparent approach. Care has to be taken to not just increase the administrative burden of risk assessors, but there needs to be a balance between increased ‘process’ versus clear benefit. </w:t>
      </w:r>
      <w:r w:rsidR="007E6134" w:rsidRPr="00201CE8">
        <w:rPr>
          <w:rFonts w:ascii="Calibri" w:hAnsi="Calibri" w:cs="Calibri"/>
        </w:rPr>
        <w:t xml:space="preserve">Moreover, some of the recommendations are of a more general nature, and in particular in the area of interaction between risk assessment and risk management, are not unique to FSANZ </w:t>
      </w:r>
      <w:r w:rsidR="00912B75">
        <w:rPr>
          <w:rFonts w:ascii="Calibri" w:hAnsi="Calibri" w:cs="Calibri"/>
        </w:rPr>
        <w:t>as</w:t>
      </w:r>
      <w:r w:rsidR="007E6134" w:rsidRPr="00201CE8">
        <w:rPr>
          <w:rFonts w:ascii="Calibri" w:hAnsi="Calibri" w:cs="Calibri"/>
        </w:rPr>
        <w:t xml:space="preserve"> other authorities struggle with the same issues. In these cases</w:t>
      </w:r>
      <w:r w:rsidR="001001C2" w:rsidRPr="00201CE8">
        <w:rPr>
          <w:rFonts w:ascii="Calibri" w:hAnsi="Calibri" w:cs="Calibri"/>
        </w:rPr>
        <w:t>,</w:t>
      </w:r>
      <w:r w:rsidR="007E6134" w:rsidRPr="00201CE8">
        <w:rPr>
          <w:rFonts w:ascii="Calibri" w:hAnsi="Calibri" w:cs="Calibri"/>
        </w:rPr>
        <w:t xml:space="preserve"> interaction with other authorities may be considered.</w:t>
      </w:r>
    </w:p>
    <w:p w:rsidR="00453355" w:rsidRDefault="00334B3B" w:rsidP="00453355">
      <w:pPr>
        <w:spacing w:after="0" w:line="240" w:lineRule="auto"/>
      </w:pPr>
      <w:r>
        <w:br w:type="page"/>
      </w:r>
    </w:p>
    <w:p w:rsidR="00B71C0F" w:rsidRDefault="00356B88" w:rsidP="00453355">
      <w:pPr>
        <w:pStyle w:val="Heading1"/>
      </w:pPr>
      <w:bookmarkStart w:id="115" w:name="_Toc332960042"/>
      <w:r>
        <w:lastRenderedPageBreak/>
        <w:t>Annex 1: Detailed Terms of References</w:t>
      </w:r>
      <w:bookmarkEnd w:id="115"/>
    </w:p>
    <w:p w:rsidR="007A720A" w:rsidRPr="00944DEC" w:rsidRDefault="007A720A" w:rsidP="00944DEC">
      <w:pPr>
        <w:rPr>
          <w:rFonts w:asciiTheme="minorHAnsi" w:hAnsiTheme="minorHAnsi" w:cstheme="minorHAnsi"/>
          <w:b/>
        </w:rPr>
      </w:pPr>
      <w:r w:rsidRPr="00944DEC">
        <w:rPr>
          <w:rFonts w:asciiTheme="minorHAnsi" w:hAnsiTheme="minorHAnsi" w:cstheme="minorHAnsi"/>
          <w:b/>
        </w:rPr>
        <w:t>Objectives</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To evaluate the current rigour of FSANZ’s risk assessment practices and procedures across the scientific disciplines at a high level and benchmark these against international best practice.</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To identify areas for improvement so that FSANZ’s standards development process continues to be supported by robust risk assessments</w:t>
      </w:r>
      <w:r w:rsidR="00912B75" w:rsidRPr="00201CE8">
        <w:rPr>
          <w:rFonts w:ascii="Calibri" w:hAnsi="Calibri"/>
          <w:b w:val="0"/>
          <w:sz w:val="20"/>
          <w:szCs w:val="20"/>
        </w:rPr>
        <w:t>.</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To provide recommendations to enhance these areas to ensure that FSANZ’s scientific capability continues to inform global risk assessments.</w:t>
      </w:r>
    </w:p>
    <w:p w:rsidR="007A720A" w:rsidRPr="00944DEC" w:rsidRDefault="007A720A" w:rsidP="00944DEC">
      <w:pPr>
        <w:spacing w:afterLines="60" w:after="144"/>
        <w:rPr>
          <w:rFonts w:asciiTheme="minorHAnsi" w:hAnsiTheme="minorHAnsi" w:cstheme="minorHAnsi"/>
          <w:b/>
        </w:rPr>
      </w:pPr>
      <w:r w:rsidRPr="00944DEC">
        <w:rPr>
          <w:rFonts w:asciiTheme="minorHAnsi" w:hAnsiTheme="minorHAnsi" w:cstheme="minorHAnsi"/>
          <w:b/>
        </w:rPr>
        <w:t>Terms of Reference</w:t>
      </w:r>
    </w:p>
    <w:p w:rsidR="007A720A" w:rsidRPr="00944DEC" w:rsidRDefault="007A720A" w:rsidP="00201CE8">
      <w:pPr>
        <w:spacing w:line="240" w:lineRule="auto"/>
        <w:rPr>
          <w:rFonts w:asciiTheme="minorHAnsi" w:hAnsiTheme="minorHAnsi" w:cstheme="minorHAnsi"/>
        </w:rPr>
      </w:pPr>
      <w:r w:rsidRPr="00201CE8">
        <w:rPr>
          <w:rFonts w:ascii="Calibri" w:hAnsi="Calibri" w:cs="Calibri"/>
        </w:rPr>
        <w:t>Conduct a review of FSANZ’s risk assessment practices and procedures underpinning our</w:t>
      </w:r>
      <w:r w:rsidRPr="00944DEC">
        <w:rPr>
          <w:rFonts w:asciiTheme="minorHAnsi" w:hAnsiTheme="minorHAnsi" w:cstheme="minorHAnsi"/>
        </w:rPr>
        <w:t xml:space="preserve"> standards development. This will include the following:</w:t>
      </w:r>
    </w:p>
    <w:p w:rsidR="007A720A" w:rsidRPr="00201CE8" w:rsidRDefault="007A720A" w:rsidP="00201CE8">
      <w:pPr>
        <w:pStyle w:val="Heading1"/>
        <w:numPr>
          <w:ilvl w:val="0"/>
          <w:numId w:val="38"/>
        </w:numPr>
        <w:rPr>
          <w:rFonts w:ascii="Calibri" w:hAnsi="Calibri"/>
          <w:b w:val="0"/>
          <w:sz w:val="20"/>
          <w:szCs w:val="20"/>
        </w:rPr>
      </w:pPr>
      <w:proofErr w:type="gramStart"/>
      <w:r w:rsidRPr="00201CE8">
        <w:rPr>
          <w:rFonts w:ascii="Calibri" w:hAnsi="Calibri"/>
          <w:b w:val="0"/>
          <w:sz w:val="20"/>
          <w:szCs w:val="20"/>
        </w:rPr>
        <w:t>Benchmark FSANZ’s current risk assessment practices and procedures against international best practice, taking into consideration FSANZ’s available resources.</w:t>
      </w:r>
      <w:proofErr w:type="gramEnd"/>
    </w:p>
    <w:p w:rsidR="007A720A" w:rsidRPr="00201CE8" w:rsidRDefault="007A720A" w:rsidP="00201CE8">
      <w:pPr>
        <w:pStyle w:val="Heading1"/>
        <w:numPr>
          <w:ilvl w:val="0"/>
          <w:numId w:val="38"/>
        </w:numPr>
        <w:rPr>
          <w:rFonts w:ascii="Calibri" w:hAnsi="Calibri"/>
          <w:sz w:val="20"/>
          <w:szCs w:val="20"/>
        </w:rPr>
      </w:pPr>
      <w:r w:rsidRPr="00201CE8">
        <w:rPr>
          <w:rFonts w:ascii="Calibri" w:hAnsi="Calibri"/>
          <w:b w:val="0"/>
          <w:sz w:val="20"/>
          <w:szCs w:val="20"/>
        </w:rPr>
        <w:t>Review the format, content and presentation of FSANZ risk assessment reports and make recommendations on areas for improvement.</w:t>
      </w:r>
    </w:p>
    <w:p w:rsidR="007A720A" w:rsidRPr="00201CE8" w:rsidRDefault="007A720A" w:rsidP="00201CE8">
      <w:pPr>
        <w:pStyle w:val="Heading1"/>
        <w:numPr>
          <w:ilvl w:val="0"/>
          <w:numId w:val="38"/>
        </w:numPr>
        <w:rPr>
          <w:rFonts w:ascii="Calibri" w:hAnsi="Calibri"/>
          <w:sz w:val="20"/>
          <w:szCs w:val="20"/>
        </w:rPr>
      </w:pPr>
      <w:r w:rsidRPr="00201CE8">
        <w:rPr>
          <w:rFonts w:ascii="Calibri" w:hAnsi="Calibri"/>
          <w:b w:val="0"/>
          <w:sz w:val="20"/>
          <w:szCs w:val="20"/>
        </w:rPr>
        <w:t>Review the integration of risk assessment work across the different scientific disciplines- chemical, consumer and social science, data collection, exposure assessment, genetically modified (GM) foods, microbiology and nutrition.</w:t>
      </w:r>
    </w:p>
    <w:p w:rsidR="007A720A" w:rsidRPr="00201CE8" w:rsidRDefault="007A720A" w:rsidP="00201CE8">
      <w:pPr>
        <w:pStyle w:val="Heading1"/>
        <w:numPr>
          <w:ilvl w:val="0"/>
          <w:numId w:val="38"/>
        </w:numPr>
        <w:rPr>
          <w:rFonts w:ascii="Calibri" w:hAnsi="Calibri"/>
          <w:sz w:val="20"/>
          <w:szCs w:val="20"/>
        </w:rPr>
      </w:pPr>
      <w:r w:rsidRPr="00201CE8">
        <w:rPr>
          <w:rFonts w:ascii="Calibri" w:hAnsi="Calibri"/>
          <w:b w:val="0"/>
          <w:sz w:val="20"/>
          <w:szCs w:val="20"/>
        </w:rPr>
        <w:t>Provide suggestions to improve the inputs from and integration of different scientific disciplines in the risk assessment report.</w:t>
      </w:r>
    </w:p>
    <w:p w:rsidR="007A720A" w:rsidRPr="00201CE8" w:rsidRDefault="007A720A" w:rsidP="00201CE8">
      <w:pPr>
        <w:pStyle w:val="Heading1"/>
        <w:numPr>
          <w:ilvl w:val="0"/>
          <w:numId w:val="38"/>
        </w:numPr>
        <w:rPr>
          <w:rFonts w:ascii="Calibri" w:hAnsi="Calibri"/>
          <w:sz w:val="20"/>
          <w:szCs w:val="20"/>
        </w:rPr>
      </w:pPr>
      <w:r w:rsidRPr="00201CE8">
        <w:rPr>
          <w:rFonts w:ascii="Calibri" w:hAnsi="Calibri"/>
          <w:b w:val="0"/>
          <w:sz w:val="20"/>
          <w:szCs w:val="20"/>
        </w:rPr>
        <w:t xml:space="preserve">Provide advice in relation to when it is reasonable to undertake a small scale versus full risk assessment. </w:t>
      </w:r>
    </w:p>
    <w:p w:rsidR="007A720A" w:rsidRPr="00201CE8" w:rsidRDefault="007A720A" w:rsidP="00201CE8">
      <w:pPr>
        <w:pStyle w:val="Heading1"/>
        <w:numPr>
          <w:ilvl w:val="0"/>
          <w:numId w:val="38"/>
        </w:numPr>
        <w:rPr>
          <w:rFonts w:ascii="Calibri" w:hAnsi="Calibri"/>
          <w:sz w:val="20"/>
          <w:szCs w:val="20"/>
        </w:rPr>
      </w:pPr>
      <w:r w:rsidRPr="00201CE8">
        <w:rPr>
          <w:rFonts w:ascii="Calibri" w:hAnsi="Calibri"/>
          <w:b w:val="0"/>
          <w:sz w:val="20"/>
          <w:szCs w:val="20"/>
        </w:rPr>
        <w:t>Review the process undertaken to formulate risk assessment questions and how they are subsequently addressed, including the interface between risk assessment and risk management functions.</w:t>
      </w:r>
    </w:p>
    <w:p w:rsidR="00912B75" w:rsidRDefault="00912B75">
      <w:pPr>
        <w:spacing w:after="0" w:line="240" w:lineRule="auto"/>
        <w:rPr>
          <w:rFonts w:asciiTheme="minorHAnsi" w:hAnsiTheme="minorHAnsi" w:cstheme="minorHAnsi"/>
          <w:b/>
        </w:rPr>
      </w:pPr>
      <w:r>
        <w:rPr>
          <w:rFonts w:asciiTheme="minorHAnsi" w:hAnsiTheme="minorHAnsi" w:cstheme="minorHAnsi"/>
          <w:b/>
        </w:rPr>
        <w:br w:type="page"/>
      </w:r>
    </w:p>
    <w:p w:rsidR="007A720A" w:rsidRPr="00944DEC" w:rsidRDefault="007A720A" w:rsidP="00944DEC">
      <w:pPr>
        <w:spacing w:afterLines="60" w:after="144"/>
        <w:rPr>
          <w:rFonts w:asciiTheme="minorHAnsi" w:hAnsiTheme="minorHAnsi" w:cstheme="minorHAnsi"/>
          <w:b/>
        </w:rPr>
      </w:pPr>
      <w:r w:rsidRPr="00944DEC">
        <w:rPr>
          <w:rFonts w:asciiTheme="minorHAnsi" w:hAnsiTheme="minorHAnsi" w:cstheme="minorHAnsi"/>
          <w:b/>
        </w:rPr>
        <w:lastRenderedPageBreak/>
        <w:t>Tasks</w:t>
      </w:r>
    </w:p>
    <w:p w:rsidR="007A720A" w:rsidRPr="00944DEC" w:rsidRDefault="007A720A" w:rsidP="00201CE8">
      <w:pPr>
        <w:spacing w:line="240" w:lineRule="auto"/>
        <w:rPr>
          <w:rFonts w:asciiTheme="minorHAnsi" w:hAnsiTheme="minorHAnsi" w:cstheme="minorHAnsi"/>
          <w:b/>
        </w:rPr>
      </w:pPr>
      <w:r w:rsidRPr="00944DEC">
        <w:rPr>
          <w:rFonts w:asciiTheme="minorHAnsi" w:hAnsiTheme="minorHAnsi" w:cstheme="minorHAnsi"/>
        </w:rPr>
        <w:t>Information gathering to inform the review of FSANZ’s risk assessment practices and procedures across the scientific disciplines which will include:</w:t>
      </w:r>
    </w:p>
    <w:p w:rsidR="007A720A" w:rsidRPr="00944DEC" w:rsidRDefault="007A720A" w:rsidP="00944DEC">
      <w:pPr>
        <w:pStyle w:val="ListParagraph"/>
        <w:numPr>
          <w:ilvl w:val="0"/>
          <w:numId w:val="5"/>
        </w:numPr>
        <w:spacing w:afterLines="60" w:after="144"/>
        <w:ind w:left="142" w:firstLine="284"/>
        <w:rPr>
          <w:rFonts w:asciiTheme="minorHAnsi" w:hAnsiTheme="minorHAnsi" w:cstheme="minorHAnsi"/>
          <w:b/>
        </w:rPr>
      </w:pPr>
      <w:r w:rsidRPr="00944DEC">
        <w:rPr>
          <w:rFonts w:asciiTheme="minorHAnsi" w:hAnsiTheme="minorHAnsi" w:cstheme="minorHAnsi"/>
        </w:rPr>
        <w:t>Background reading of the following material:</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Cross section of FSANZ risk assessment reports</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 xml:space="preserve">Report on the 2009 peer review of the FSANZ food composition program and databases. </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 xml:space="preserve">Report on the 2008 peer review of FSANZ GM food safety practices and procedures. </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 xml:space="preserve">Report on the 2007 peer review of the FSANZ Dietary Modelling Team practices and procedures. </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FSANZ Science Strategy for 2010-2015 and the 2011 implementation plan.</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 xml:space="preserve">Analysis of food related health risks </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Application handbook</w:t>
      </w:r>
    </w:p>
    <w:p w:rsidR="007A720A" w:rsidRPr="00201CE8" w:rsidRDefault="007A720A" w:rsidP="00201CE8">
      <w:pPr>
        <w:pStyle w:val="Heading1"/>
        <w:numPr>
          <w:ilvl w:val="0"/>
          <w:numId w:val="38"/>
        </w:numPr>
        <w:rPr>
          <w:rFonts w:ascii="Calibri" w:hAnsi="Calibri"/>
          <w:b w:val="0"/>
          <w:sz w:val="20"/>
          <w:szCs w:val="20"/>
        </w:rPr>
      </w:pPr>
      <w:r w:rsidRPr="00201CE8">
        <w:rPr>
          <w:rFonts w:ascii="Calibri" w:hAnsi="Calibri"/>
          <w:b w:val="0"/>
          <w:sz w:val="20"/>
          <w:szCs w:val="20"/>
        </w:rPr>
        <w:t>FSANZ project management handbook</w:t>
      </w:r>
    </w:p>
    <w:p w:rsidR="00923FF8" w:rsidRPr="00201CE8" w:rsidRDefault="007A720A" w:rsidP="00201CE8">
      <w:pPr>
        <w:pStyle w:val="Heading1"/>
        <w:numPr>
          <w:ilvl w:val="0"/>
          <w:numId w:val="38"/>
        </w:numPr>
        <w:rPr>
          <w:rFonts w:ascii="Calibri" w:hAnsi="Calibri"/>
          <w:b w:val="0"/>
          <w:sz w:val="20"/>
          <w:szCs w:val="20"/>
        </w:rPr>
      </w:pPr>
      <w:proofErr w:type="gramStart"/>
      <w:r w:rsidRPr="00201CE8">
        <w:rPr>
          <w:rFonts w:ascii="Calibri" w:hAnsi="Calibri"/>
          <w:b w:val="0"/>
          <w:sz w:val="20"/>
          <w:szCs w:val="20"/>
        </w:rPr>
        <w:t>An example of the regular scientific and international activities report</w:t>
      </w:r>
      <w:r w:rsidR="00912B75">
        <w:rPr>
          <w:rFonts w:ascii="Calibri" w:hAnsi="Calibri"/>
          <w:b w:val="0"/>
          <w:sz w:val="20"/>
          <w:szCs w:val="20"/>
        </w:rPr>
        <w:t>.</w:t>
      </w:r>
      <w:proofErr w:type="gramEnd"/>
    </w:p>
    <w:p w:rsidR="00923FF8" w:rsidRPr="00944DEC" w:rsidRDefault="00923FF8" w:rsidP="00944DEC">
      <w:pPr>
        <w:pStyle w:val="ListParagraph"/>
        <w:spacing w:afterLines="60" w:after="144"/>
        <w:ind w:left="142" w:firstLine="284"/>
        <w:rPr>
          <w:rFonts w:asciiTheme="minorHAnsi" w:hAnsiTheme="minorHAnsi" w:cstheme="minorHAnsi"/>
          <w:b/>
        </w:rPr>
      </w:pPr>
    </w:p>
    <w:p w:rsidR="007A720A" w:rsidRPr="00944DEC" w:rsidRDefault="007A720A" w:rsidP="00944DEC">
      <w:pPr>
        <w:pStyle w:val="ListParagraph"/>
        <w:numPr>
          <w:ilvl w:val="0"/>
          <w:numId w:val="5"/>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Discussions with the FSANZ CEO, the Deputy CEO, Chief Scientist, General Manager Risk Assessment and other members of the Executive as required for the purpose of seeking their individual perspective on the risk assessment process at FSANZ and potential areas for improvement.</w:t>
      </w:r>
    </w:p>
    <w:p w:rsidR="007A720A" w:rsidRPr="00944DEC" w:rsidRDefault="007A720A" w:rsidP="00944DEC">
      <w:pPr>
        <w:pStyle w:val="ListParagraph"/>
        <w:spacing w:afterLines="60" w:after="144"/>
        <w:ind w:left="142" w:firstLine="284"/>
        <w:rPr>
          <w:rFonts w:asciiTheme="minorHAnsi" w:hAnsiTheme="minorHAnsi" w:cstheme="minorHAnsi"/>
          <w:b/>
        </w:rPr>
      </w:pPr>
    </w:p>
    <w:p w:rsidR="007A720A" w:rsidRPr="00944DEC" w:rsidRDefault="007A720A" w:rsidP="00944DEC">
      <w:pPr>
        <w:pStyle w:val="ListParagraph"/>
        <w:numPr>
          <w:ilvl w:val="0"/>
          <w:numId w:val="5"/>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 xml:space="preserve">Discussions with FSANZ Section Managers from the following areas for the purpose of obtaining their feedback on the risk assessment process at FSANZ: </w:t>
      </w:r>
    </w:p>
    <w:p w:rsidR="00844FD3" w:rsidRPr="00944DEC" w:rsidRDefault="00844FD3" w:rsidP="00944DEC">
      <w:pPr>
        <w:pStyle w:val="ListParagraph"/>
        <w:spacing w:afterLines="60" w:after="144"/>
        <w:ind w:left="142" w:firstLine="284"/>
        <w:rPr>
          <w:rFonts w:asciiTheme="minorHAnsi" w:hAnsiTheme="minorHAnsi" w:cstheme="minorHAnsi"/>
          <w:b/>
        </w:rPr>
      </w:pP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Risk Assessment Chemical Safety</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Risk Assessment Microbiology</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Production Process Risk Assessment</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Risk Assessment Public Health Nutrition</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Product Safety Standards</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Public Health Nutrition Standards</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Scientific Strategy, International and Surveillance</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Labelling and Information Standards</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 xml:space="preserve">Consumer and Social Science </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 xml:space="preserve">Food Composition, Evaluation and Modelling </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b/>
        </w:rPr>
      </w:pPr>
      <w:r w:rsidRPr="00944DEC">
        <w:rPr>
          <w:rFonts w:asciiTheme="minorHAnsi" w:eastAsia="Times New Roman" w:hAnsiTheme="minorHAnsi" w:cstheme="minorHAnsi"/>
          <w:color w:val="000000"/>
          <w:lang w:val="en-AU" w:eastAsia="en-AU"/>
        </w:rPr>
        <w:t>Food Safety</w:t>
      </w:r>
      <w:r w:rsidR="00912B75">
        <w:rPr>
          <w:rFonts w:asciiTheme="minorHAnsi" w:eastAsia="Times New Roman" w:hAnsiTheme="minorHAnsi" w:cstheme="minorHAnsi"/>
          <w:color w:val="000000"/>
          <w:lang w:val="en-AU" w:eastAsia="en-AU"/>
        </w:rPr>
        <w:t>.</w:t>
      </w:r>
    </w:p>
    <w:p w:rsidR="00923FF8" w:rsidRPr="00944DEC" w:rsidRDefault="00923FF8" w:rsidP="00944DEC">
      <w:pPr>
        <w:pStyle w:val="ListParagraph"/>
        <w:spacing w:afterLines="60" w:after="144"/>
        <w:ind w:left="142" w:firstLine="284"/>
        <w:rPr>
          <w:rFonts w:asciiTheme="minorHAnsi" w:hAnsiTheme="minorHAnsi" w:cstheme="minorHAnsi"/>
          <w:b/>
        </w:rPr>
      </w:pPr>
    </w:p>
    <w:p w:rsidR="007A720A" w:rsidRPr="00944DEC" w:rsidRDefault="007A720A" w:rsidP="00944DEC">
      <w:pPr>
        <w:pStyle w:val="ListParagraph"/>
        <w:numPr>
          <w:ilvl w:val="0"/>
          <w:numId w:val="5"/>
        </w:numPr>
        <w:spacing w:afterLines="60" w:after="144"/>
        <w:ind w:left="142" w:firstLine="284"/>
        <w:rPr>
          <w:rFonts w:asciiTheme="minorHAnsi" w:hAnsiTheme="minorHAnsi" w:cstheme="minorHAnsi"/>
        </w:rPr>
      </w:pPr>
      <w:r w:rsidRPr="00944DEC">
        <w:rPr>
          <w:rFonts w:asciiTheme="minorHAnsi" w:hAnsiTheme="minorHAnsi" w:cstheme="minorHAnsi"/>
        </w:rPr>
        <w:t>Discussions with key Australian government agencies to determine areas of mutual interest, collaboration and to seek an objective view of FSANZ risk assessment performance, including:</w:t>
      </w:r>
    </w:p>
    <w:p w:rsidR="007A720A" w:rsidRPr="00944DEC" w:rsidRDefault="007A720A" w:rsidP="00944DEC">
      <w:pPr>
        <w:pStyle w:val="ListParagraph"/>
        <w:spacing w:afterLines="60" w:after="144"/>
        <w:ind w:left="142" w:firstLine="284"/>
        <w:rPr>
          <w:rFonts w:asciiTheme="minorHAnsi" w:hAnsiTheme="minorHAnsi" w:cstheme="minorHAnsi"/>
        </w:rPr>
      </w:pP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rPr>
      </w:pPr>
      <w:r w:rsidRPr="00944DEC">
        <w:rPr>
          <w:rFonts w:asciiTheme="minorHAnsi" w:hAnsiTheme="minorHAnsi" w:cstheme="minorHAnsi"/>
        </w:rPr>
        <w:t>Australian Quarantine and Inspection Service (AQIS)</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rPr>
      </w:pPr>
      <w:r w:rsidRPr="00944DEC">
        <w:rPr>
          <w:rFonts w:asciiTheme="minorHAnsi" w:hAnsiTheme="minorHAnsi" w:cstheme="minorHAnsi"/>
        </w:rPr>
        <w:lastRenderedPageBreak/>
        <w:t>Australian Pesticides and Veterinary Medicines Authority (APVMA)</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rPr>
      </w:pPr>
      <w:r w:rsidRPr="00944DEC">
        <w:rPr>
          <w:rFonts w:asciiTheme="minorHAnsi" w:hAnsiTheme="minorHAnsi" w:cstheme="minorHAnsi"/>
        </w:rPr>
        <w:t>Department of Agriculture, Fisheries and Forestry (DAFF)</w:t>
      </w:r>
    </w:p>
    <w:p w:rsidR="007A720A" w:rsidRPr="00944DEC" w:rsidRDefault="007A720A" w:rsidP="00944DEC">
      <w:pPr>
        <w:pStyle w:val="ListParagraph"/>
        <w:numPr>
          <w:ilvl w:val="1"/>
          <w:numId w:val="28"/>
        </w:numPr>
        <w:spacing w:afterLines="60" w:after="144"/>
        <w:ind w:left="142" w:firstLine="284"/>
        <w:rPr>
          <w:rFonts w:asciiTheme="minorHAnsi" w:hAnsiTheme="minorHAnsi" w:cstheme="minorHAnsi"/>
        </w:rPr>
      </w:pPr>
      <w:r w:rsidRPr="00944DEC">
        <w:rPr>
          <w:rFonts w:asciiTheme="minorHAnsi" w:hAnsiTheme="minorHAnsi" w:cstheme="minorHAnsi"/>
        </w:rPr>
        <w:t>Department of Health and Ageing (DoHA) – OCS, OHP, OzFoodNet, TGA</w:t>
      </w:r>
    </w:p>
    <w:p w:rsidR="00923FF8" w:rsidRPr="00944DEC" w:rsidRDefault="00923FF8" w:rsidP="00944DEC">
      <w:pPr>
        <w:pStyle w:val="ListParagraph"/>
        <w:spacing w:afterLines="60" w:after="144"/>
        <w:ind w:left="142" w:firstLine="284"/>
        <w:rPr>
          <w:rFonts w:asciiTheme="minorHAnsi" w:hAnsiTheme="minorHAnsi" w:cstheme="minorHAnsi"/>
        </w:rPr>
      </w:pPr>
    </w:p>
    <w:p w:rsidR="007A720A" w:rsidRPr="00944DEC" w:rsidRDefault="007A720A" w:rsidP="00944DEC">
      <w:pPr>
        <w:pStyle w:val="ListParagraph"/>
        <w:numPr>
          <w:ilvl w:val="0"/>
          <w:numId w:val="5"/>
        </w:numPr>
        <w:spacing w:afterLines="60" w:after="144"/>
        <w:ind w:left="142" w:firstLine="284"/>
        <w:rPr>
          <w:rFonts w:asciiTheme="minorHAnsi" w:hAnsiTheme="minorHAnsi" w:cstheme="minorHAnsi"/>
        </w:rPr>
      </w:pPr>
      <w:r w:rsidRPr="00944DEC">
        <w:rPr>
          <w:rFonts w:asciiTheme="minorHAnsi" w:hAnsiTheme="minorHAnsi" w:cstheme="minorHAnsi"/>
        </w:rPr>
        <w:t xml:space="preserve">Discussions with Australian </w:t>
      </w:r>
      <w:r w:rsidR="00912B75">
        <w:rPr>
          <w:rFonts w:asciiTheme="minorHAnsi" w:hAnsiTheme="minorHAnsi" w:cstheme="minorHAnsi"/>
        </w:rPr>
        <w:t>s</w:t>
      </w:r>
      <w:r w:rsidRPr="00944DEC">
        <w:rPr>
          <w:rFonts w:asciiTheme="minorHAnsi" w:hAnsiTheme="minorHAnsi" w:cstheme="minorHAnsi"/>
        </w:rPr>
        <w:t xml:space="preserve">tate and </w:t>
      </w:r>
      <w:r w:rsidR="00912B75">
        <w:rPr>
          <w:rFonts w:asciiTheme="minorHAnsi" w:hAnsiTheme="minorHAnsi" w:cstheme="minorHAnsi"/>
        </w:rPr>
        <w:t>t</w:t>
      </w:r>
      <w:r w:rsidRPr="00944DEC">
        <w:rPr>
          <w:rFonts w:asciiTheme="minorHAnsi" w:hAnsiTheme="minorHAnsi" w:cstheme="minorHAnsi"/>
        </w:rPr>
        <w:t>erritory health departments and food regulatory agencies to seek feedback on the transparency of the FSANZ risk assessment process, whether issues raised are adequately considered by FSANZ and if the process effectively meets the requirements for compliance and enforcement activities.</w:t>
      </w:r>
    </w:p>
    <w:p w:rsidR="00923FF8" w:rsidRPr="00944DEC" w:rsidRDefault="00923FF8" w:rsidP="00944DEC">
      <w:pPr>
        <w:pStyle w:val="ListParagraph"/>
        <w:spacing w:afterLines="60" w:after="144"/>
        <w:ind w:left="142" w:firstLine="284"/>
        <w:rPr>
          <w:rFonts w:asciiTheme="minorHAnsi" w:hAnsiTheme="minorHAnsi" w:cstheme="minorHAnsi"/>
        </w:rPr>
      </w:pPr>
    </w:p>
    <w:p w:rsidR="007A720A" w:rsidRPr="00944DEC" w:rsidRDefault="007A720A" w:rsidP="00944DEC">
      <w:pPr>
        <w:pStyle w:val="ListParagraph"/>
        <w:numPr>
          <w:ilvl w:val="0"/>
          <w:numId w:val="5"/>
        </w:numPr>
        <w:spacing w:afterLines="60" w:after="144"/>
        <w:ind w:left="142" w:firstLine="284"/>
        <w:rPr>
          <w:rFonts w:asciiTheme="minorHAnsi" w:hAnsiTheme="minorHAnsi" w:cstheme="minorHAnsi"/>
        </w:rPr>
      </w:pPr>
      <w:r w:rsidRPr="00944DEC">
        <w:rPr>
          <w:rFonts w:asciiTheme="minorHAnsi" w:hAnsiTheme="minorHAnsi" w:cstheme="minorHAnsi"/>
        </w:rPr>
        <w:t>Discussions with the New Zealand Ministry of Agriculture and Forestry (NZ MAF).</w:t>
      </w:r>
    </w:p>
    <w:p w:rsidR="007A720A" w:rsidRPr="00944DEC" w:rsidRDefault="007A720A" w:rsidP="008A5441">
      <w:pPr>
        <w:spacing w:after="120"/>
        <w:rPr>
          <w:rFonts w:asciiTheme="minorHAnsi" w:hAnsiTheme="minorHAnsi" w:cstheme="minorHAnsi"/>
          <w:b/>
        </w:rPr>
      </w:pPr>
      <w:r w:rsidRPr="00944DEC">
        <w:rPr>
          <w:rFonts w:asciiTheme="minorHAnsi" w:hAnsiTheme="minorHAnsi" w:cstheme="minorHAnsi"/>
          <w:b/>
        </w:rPr>
        <w:t>Deliverables</w:t>
      </w:r>
    </w:p>
    <w:p w:rsidR="007A720A" w:rsidRDefault="007A720A" w:rsidP="00201CE8">
      <w:pPr>
        <w:pStyle w:val="ListParagraph"/>
        <w:numPr>
          <w:ilvl w:val="0"/>
          <w:numId w:val="29"/>
        </w:numPr>
        <w:spacing w:before="120" w:after="240"/>
        <w:ind w:left="709" w:hanging="283"/>
        <w:rPr>
          <w:rFonts w:asciiTheme="minorHAnsi" w:eastAsia="Times New Roman" w:hAnsiTheme="minorHAnsi" w:cstheme="minorHAnsi"/>
          <w:color w:val="000000"/>
          <w:lang w:val="en-AU" w:eastAsia="en-AU"/>
        </w:rPr>
      </w:pPr>
      <w:r w:rsidRPr="00944DEC">
        <w:rPr>
          <w:rFonts w:asciiTheme="minorHAnsi" w:eastAsia="Times New Roman" w:hAnsiTheme="minorHAnsi" w:cstheme="minorHAnsi"/>
          <w:color w:val="000000"/>
          <w:lang w:val="en-AU" w:eastAsia="en-AU"/>
        </w:rPr>
        <w:t>Key input to and delivery at a workshop organised by FSANZ to relevant stakeholders on current international best practice risk assessments.</w:t>
      </w:r>
    </w:p>
    <w:p w:rsidR="008A5441" w:rsidRPr="008A5441" w:rsidRDefault="008A5441" w:rsidP="008A5441">
      <w:pPr>
        <w:pStyle w:val="ListParagraph"/>
        <w:spacing w:before="120" w:after="240"/>
        <w:ind w:left="426"/>
        <w:rPr>
          <w:rFonts w:asciiTheme="minorHAnsi" w:eastAsia="Times New Roman" w:hAnsiTheme="minorHAnsi" w:cstheme="minorHAnsi"/>
          <w:color w:val="000000"/>
          <w:lang w:val="en-AU" w:eastAsia="en-AU"/>
        </w:rPr>
      </w:pPr>
    </w:p>
    <w:p w:rsidR="008A5441" w:rsidRDefault="007A720A" w:rsidP="00201CE8">
      <w:pPr>
        <w:pStyle w:val="ListParagraph"/>
        <w:numPr>
          <w:ilvl w:val="0"/>
          <w:numId w:val="29"/>
        </w:numPr>
        <w:spacing w:before="120" w:after="240"/>
        <w:ind w:left="709" w:hanging="283"/>
        <w:rPr>
          <w:rFonts w:asciiTheme="minorHAnsi" w:eastAsia="Times New Roman" w:hAnsiTheme="minorHAnsi" w:cstheme="minorHAnsi"/>
          <w:color w:val="000000"/>
          <w:lang w:val="en-AU" w:eastAsia="en-AU"/>
        </w:rPr>
      </w:pPr>
      <w:r w:rsidRPr="00944DEC">
        <w:rPr>
          <w:rFonts w:asciiTheme="minorHAnsi" w:eastAsia="Times New Roman" w:hAnsiTheme="minorHAnsi" w:cstheme="minorHAnsi"/>
          <w:color w:val="000000"/>
          <w:lang w:val="en-AU" w:eastAsia="en-AU"/>
        </w:rPr>
        <w:t xml:space="preserve">Meet with the CEO, the Deputy CEO, Chief Scientist, General Manager Risk Assessment and other relevant FSANZ staff to provide a verbal debrief on the initial findings and recommendations of the review prior to </w:t>
      </w:r>
      <w:r w:rsidR="008A5441">
        <w:rPr>
          <w:rFonts w:asciiTheme="minorHAnsi" w:eastAsia="Times New Roman" w:hAnsiTheme="minorHAnsi" w:cstheme="minorHAnsi"/>
          <w:color w:val="000000"/>
          <w:lang w:val="en-AU" w:eastAsia="en-AU"/>
        </w:rPr>
        <w:t>departing Australia/New Zealand.</w:t>
      </w:r>
    </w:p>
    <w:p w:rsidR="008A5441" w:rsidRPr="008A5441" w:rsidRDefault="008A5441" w:rsidP="008A5441">
      <w:pPr>
        <w:pStyle w:val="ListParagraph"/>
        <w:spacing w:before="240" w:after="240"/>
        <w:ind w:left="426"/>
        <w:rPr>
          <w:rFonts w:asciiTheme="minorHAnsi" w:eastAsia="Times New Roman" w:hAnsiTheme="minorHAnsi" w:cstheme="minorHAnsi"/>
          <w:color w:val="000000"/>
          <w:lang w:val="en-AU" w:eastAsia="en-AU"/>
        </w:rPr>
      </w:pPr>
    </w:p>
    <w:p w:rsidR="00A213A2" w:rsidRPr="00A213A2" w:rsidRDefault="007A720A" w:rsidP="00A213A2">
      <w:pPr>
        <w:pStyle w:val="ListParagraph"/>
        <w:numPr>
          <w:ilvl w:val="0"/>
          <w:numId w:val="29"/>
        </w:numPr>
        <w:spacing w:before="120" w:after="240"/>
        <w:ind w:left="142" w:firstLine="284"/>
        <w:rPr>
          <w:rFonts w:asciiTheme="minorHAnsi" w:eastAsia="Times New Roman" w:hAnsiTheme="minorHAnsi" w:cstheme="minorHAnsi"/>
          <w:color w:val="000000"/>
          <w:lang w:val="en-AU" w:eastAsia="en-AU"/>
        </w:rPr>
      </w:pPr>
      <w:r w:rsidRPr="00944DEC">
        <w:rPr>
          <w:rFonts w:asciiTheme="minorHAnsi" w:eastAsia="Times New Roman" w:hAnsiTheme="minorHAnsi" w:cstheme="minorHAnsi"/>
          <w:color w:val="000000"/>
          <w:lang w:val="en-AU" w:eastAsia="en-AU"/>
        </w:rPr>
        <w:t>Deliver a seminar to FSANZ staff on the risk assessment process from a WHO perspective.</w:t>
      </w:r>
    </w:p>
    <w:p w:rsidR="00A213A2" w:rsidRDefault="00A213A2" w:rsidP="00A213A2">
      <w:pPr>
        <w:pStyle w:val="ListParagraph"/>
        <w:spacing w:before="120" w:after="240"/>
        <w:ind w:left="426"/>
        <w:rPr>
          <w:rFonts w:asciiTheme="minorHAnsi" w:eastAsia="Times New Roman" w:hAnsiTheme="minorHAnsi" w:cstheme="minorHAnsi"/>
          <w:color w:val="000000"/>
          <w:lang w:val="en-AU" w:eastAsia="en-AU"/>
        </w:rPr>
      </w:pPr>
    </w:p>
    <w:p w:rsidR="00A213A2" w:rsidRPr="00A213A2" w:rsidRDefault="007A720A" w:rsidP="00201CE8">
      <w:pPr>
        <w:pStyle w:val="ListParagraph"/>
        <w:numPr>
          <w:ilvl w:val="0"/>
          <w:numId w:val="29"/>
        </w:numPr>
        <w:spacing w:before="120" w:after="240"/>
        <w:ind w:left="709" w:hanging="283"/>
        <w:rPr>
          <w:rFonts w:asciiTheme="minorHAnsi" w:eastAsia="Times New Roman" w:hAnsiTheme="minorHAnsi" w:cstheme="minorHAnsi"/>
          <w:color w:val="000000"/>
          <w:lang w:val="en-AU" w:eastAsia="en-AU"/>
        </w:rPr>
      </w:pPr>
      <w:r w:rsidRPr="00944DEC">
        <w:rPr>
          <w:rFonts w:asciiTheme="minorHAnsi" w:eastAsia="Times New Roman" w:hAnsiTheme="minorHAnsi" w:cstheme="minorHAnsi"/>
          <w:color w:val="000000"/>
          <w:lang w:val="en-AU" w:eastAsia="en-AU"/>
        </w:rPr>
        <w:t xml:space="preserve">Written draft report on the review of FSANZ’S risk assessment practices and procedures across the different scientific disciplines within </w:t>
      </w:r>
      <w:r w:rsidRPr="00944DEC">
        <w:rPr>
          <w:rFonts w:asciiTheme="minorHAnsi" w:eastAsia="Times New Roman" w:hAnsiTheme="minorHAnsi" w:cstheme="minorHAnsi"/>
          <w:i/>
          <w:color w:val="000000"/>
          <w:lang w:val="en-AU" w:eastAsia="en-AU"/>
        </w:rPr>
        <w:t>2 months</w:t>
      </w:r>
      <w:r w:rsidRPr="00944DEC">
        <w:rPr>
          <w:rFonts w:asciiTheme="minorHAnsi" w:eastAsia="Times New Roman" w:hAnsiTheme="minorHAnsi" w:cstheme="minorHAnsi"/>
          <w:color w:val="000000"/>
          <w:lang w:val="en-AU" w:eastAsia="en-AU"/>
        </w:rPr>
        <w:t xml:space="preserve"> of departing Australia/New Zealand.</w:t>
      </w:r>
    </w:p>
    <w:p w:rsidR="00A213A2" w:rsidRDefault="00A213A2" w:rsidP="00A213A2">
      <w:pPr>
        <w:pStyle w:val="ListParagraph"/>
        <w:spacing w:before="120" w:after="240"/>
        <w:ind w:left="426"/>
        <w:rPr>
          <w:rFonts w:asciiTheme="minorHAnsi" w:eastAsia="Times New Roman" w:hAnsiTheme="minorHAnsi" w:cstheme="minorHAnsi"/>
          <w:color w:val="000000"/>
          <w:lang w:val="en-AU" w:eastAsia="en-AU"/>
        </w:rPr>
      </w:pPr>
    </w:p>
    <w:p w:rsidR="00334B3B" w:rsidRPr="00944DEC" w:rsidRDefault="007A720A" w:rsidP="00201CE8">
      <w:pPr>
        <w:pStyle w:val="ListParagraph"/>
        <w:numPr>
          <w:ilvl w:val="0"/>
          <w:numId w:val="29"/>
        </w:numPr>
        <w:spacing w:before="120" w:after="240"/>
        <w:ind w:left="709" w:hanging="283"/>
        <w:rPr>
          <w:rFonts w:asciiTheme="minorHAnsi" w:eastAsia="Times New Roman" w:hAnsiTheme="minorHAnsi" w:cstheme="minorHAnsi"/>
          <w:color w:val="000000"/>
          <w:lang w:val="en-AU" w:eastAsia="en-AU"/>
        </w:rPr>
      </w:pPr>
      <w:r w:rsidRPr="00944DEC">
        <w:rPr>
          <w:rFonts w:asciiTheme="minorHAnsi" w:eastAsia="Times New Roman" w:hAnsiTheme="minorHAnsi" w:cstheme="minorHAnsi"/>
          <w:color w:val="000000"/>
          <w:lang w:val="en-AU" w:eastAsia="en-AU"/>
        </w:rPr>
        <w:t xml:space="preserve">Provide the final report on the review of FSANZ’S risk assessment practices and procedures across the different scientific discipline within </w:t>
      </w:r>
      <w:r w:rsidRPr="00944DEC">
        <w:rPr>
          <w:rFonts w:asciiTheme="minorHAnsi" w:eastAsia="Times New Roman" w:hAnsiTheme="minorHAnsi" w:cstheme="minorHAnsi"/>
          <w:i/>
          <w:color w:val="000000"/>
          <w:lang w:val="en-AU" w:eastAsia="en-AU"/>
        </w:rPr>
        <w:t xml:space="preserve">2 months </w:t>
      </w:r>
      <w:r w:rsidRPr="00944DEC">
        <w:rPr>
          <w:rFonts w:asciiTheme="minorHAnsi" w:eastAsia="Times New Roman" w:hAnsiTheme="minorHAnsi" w:cstheme="minorHAnsi"/>
          <w:color w:val="000000"/>
          <w:lang w:val="en-AU" w:eastAsia="en-AU"/>
        </w:rPr>
        <w:t>of submitting the draft report.</w:t>
      </w:r>
      <w:r w:rsidR="00334B3B">
        <w:br w:type="page"/>
      </w:r>
    </w:p>
    <w:p w:rsidR="007B2912" w:rsidRDefault="00356B88" w:rsidP="00EB419A">
      <w:pPr>
        <w:pStyle w:val="Heading1"/>
      </w:pPr>
      <w:bookmarkStart w:id="116" w:name="_Toc332960043"/>
      <w:r>
        <w:lastRenderedPageBreak/>
        <w:t xml:space="preserve">Annex 2: </w:t>
      </w:r>
      <w:proofErr w:type="spellStart"/>
      <w:r>
        <w:t>Workprogram</w:t>
      </w:r>
      <w:proofErr w:type="spellEnd"/>
      <w:r>
        <w:t xml:space="preserve"> (in Canberra)</w:t>
      </w:r>
      <w:bookmarkEnd w:id="116"/>
    </w:p>
    <w:p w:rsidR="007B2912" w:rsidRPr="007B2912" w:rsidRDefault="007B2912" w:rsidP="00EB419A">
      <w:pPr>
        <w:rPr>
          <w:b/>
          <w:sz w:val="28"/>
          <w:szCs w:val="28"/>
        </w:rPr>
      </w:pPr>
      <w:r w:rsidRPr="007B2912">
        <w:rPr>
          <w:b/>
          <w:sz w:val="28"/>
          <w:szCs w:val="28"/>
        </w:rPr>
        <w:t>List of consultations</w:t>
      </w:r>
    </w:p>
    <w:p w:rsidR="007B2912" w:rsidRDefault="007B2912" w:rsidP="00EB419A">
      <w:pPr>
        <w:rPr>
          <w:b/>
        </w:rPr>
      </w:pPr>
      <w:r>
        <w:rPr>
          <w:b/>
        </w:rPr>
        <w:t>Food Standards Australia New Zealand</w:t>
      </w:r>
    </w:p>
    <w:p w:rsidR="007B2912" w:rsidRDefault="007B2912" w:rsidP="00EB419A">
      <w:pPr>
        <w:rPr>
          <w:b/>
        </w:rPr>
      </w:pPr>
      <w:r>
        <w:rPr>
          <w:b/>
        </w:rPr>
        <w:t>Executive</w:t>
      </w:r>
    </w:p>
    <w:p w:rsidR="007B2912" w:rsidRPr="00457512" w:rsidRDefault="007B2912" w:rsidP="00EB419A">
      <w:r w:rsidRPr="00457512">
        <w:t xml:space="preserve">Chief Executive officer </w:t>
      </w:r>
      <w:r w:rsidRPr="00457512">
        <w:tab/>
      </w:r>
      <w:r w:rsidRPr="00457512">
        <w:tab/>
      </w:r>
      <w:r w:rsidRPr="00457512">
        <w:tab/>
      </w:r>
      <w:r w:rsidRPr="00457512">
        <w:tab/>
        <w:t>Steve McCutcheon</w:t>
      </w:r>
    </w:p>
    <w:p w:rsidR="007B2912" w:rsidRPr="00457512" w:rsidRDefault="007B2912" w:rsidP="00EB419A">
      <w:r w:rsidRPr="00457512">
        <w:t>General Manager Food Standards (Canberra)</w:t>
      </w:r>
      <w:r w:rsidRPr="00457512">
        <w:tab/>
        <w:t>Melanie Fisher</w:t>
      </w:r>
    </w:p>
    <w:p w:rsidR="007B2912" w:rsidRPr="00457512" w:rsidRDefault="007B2912" w:rsidP="00EB419A">
      <w:r w:rsidRPr="00457512">
        <w:t>General Manager Officer of the Chief Scientist</w:t>
      </w:r>
      <w:r w:rsidRPr="00457512">
        <w:tab/>
        <w:t>Paul Brent</w:t>
      </w:r>
    </w:p>
    <w:p w:rsidR="007B2912" w:rsidRPr="00457512" w:rsidRDefault="007B2912" w:rsidP="00EB419A">
      <w:r w:rsidRPr="00457512">
        <w:t>General Manager Risk Assessment</w:t>
      </w:r>
      <w:r w:rsidRPr="00457512">
        <w:tab/>
      </w:r>
      <w:r w:rsidRPr="00457512">
        <w:tab/>
      </w:r>
      <w:r w:rsidRPr="00457512">
        <w:tab/>
        <w:t>Andrew Bartholomaeus</w:t>
      </w:r>
    </w:p>
    <w:p w:rsidR="007B2912" w:rsidRPr="00457512" w:rsidRDefault="007B2912" w:rsidP="00EB419A">
      <w:r w:rsidRPr="00457512">
        <w:t>General Manager Food Standards (Wellington</w:t>
      </w:r>
      <w:r w:rsidRPr="00457512">
        <w:tab/>
        <w:t>Dean Stockwell</w:t>
      </w:r>
    </w:p>
    <w:p w:rsidR="007B2912" w:rsidRPr="00A05C8C" w:rsidRDefault="007B2912" w:rsidP="00EB419A">
      <w:pPr>
        <w:spacing w:before="60" w:after="60"/>
      </w:pPr>
      <w:r w:rsidRPr="00A05C8C">
        <w:t>Chief Public Health Nutrition Advisor</w:t>
      </w:r>
      <w:r w:rsidRPr="00A05C8C">
        <w:tab/>
      </w:r>
      <w:r w:rsidRPr="00A05C8C">
        <w:tab/>
      </w:r>
      <w:r w:rsidRPr="00A05C8C">
        <w:tab/>
        <w:t>Dorothy Mackerras</w:t>
      </w:r>
    </w:p>
    <w:p w:rsidR="007B2912" w:rsidRPr="00A05C8C" w:rsidRDefault="007B2912" w:rsidP="003B2DBB">
      <w:pPr>
        <w:spacing w:before="60" w:after="60"/>
        <w:ind w:firstLine="284"/>
      </w:pPr>
    </w:p>
    <w:p w:rsidR="00EB419A" w:rsidRDefault="007B2912" w:rsidP="00201CE8">
      <w:pPr>
        <w:spacing w:before="60" w:after="60"/>
      </w:pPr>
      <w:r w:rsidRPr="00726C35">
        <w:t>Section Managers: Risk Assessment – Chemical Safety (RACS), Risk Assessment Microbiology Section (RAMS), Risk Assessment Public Health Nutrition (RAPHN), Scientific Strategy International and Surveillance (SSIS), Food Composition Evaluation and Monitoring (FEMS), Product Safety Standards (PSS), Labelling and information Standards (LIS)</w:t>
      </w:r>
      <w:r w:rsidR="00CC01E4">
        <w:t>, Consumer and Social Science</w:t>
      </w:r>
      <w:r w:rsidR="001F2EAE">
        <w:t xml:space="preserve"> </w:t>
      </w:r>
      <w:r w:rsidR="00CC01E4">
        <w:t>(CASS)</w:t>
      </w:r>
    </w:p>
    <w:p w:rsidR="00201CE8" w:rsidRDefault="00201CE8" w:rsidP="00201CE8">
      <w:pPr>
        <w:spacing w:before="60" w:after="60"/>
      </w:pPr>
    </w:p>
    <w:p w:rsidR="007B2912" w:rsidRDefault="007B2912" w:rsidP="00EB419A">
      <w:r>
        <w:t>FSANZ Fellow</w:t>
      </w:r>
      <w:r>
        <w:tab/>
      </w:r>
      <w:r>
        <w:tab/>
      </w:r>
      <w:r>
        <w:tab/>
      </w:r>
      <w:r>
        <w:tab/>
      </w:r>
      <w:r>
        <w:tab/>
      </w:r>
      <w:r>
        <w:tab/>
        <w:t>Brian Priestly</w:t>
      </w:r>
    </w:p>
    <w:p w:rsidR="007B2912" w:rsidRPr="007B2912" w:rsidRDefault="007B2912" w:rsidP="00EB419A">
      <w:pPr>
        <w:rPr>
          <w:b/>
        </w:rPr>
      </w:pPr>
      <w:r>
        <w:rPr>
          <w:b/>
        </w:rPr>
        <w:t>Stakeholder consultation</w:t>
      </w:r>
    </w:p>
    <w:p w:rsidR="007B2912" w:rsidRDefault="007B2912" w:rsidP="00EB419A">
      <w:pPr>
        <w:spacing w:before="60" w:after="60"/>
      </w:pPr>
      <w:r w:rsidRPr="00726C35">
        <w:t>Department of Agriculture Fisheries and Forestry (DAFF)</w:t>
      </w:r>
    </w:p>
    <w:p w:rsidR="007B2912" w:rsidRDefault="007B2912" w:rsidP="00EB419A">
      <w:pPr>
        <w:spacing w:before="60" w:after="60"/>
      </w:pPr>
      <w:r w:rsidRPr="00726C35">
        <w:t>Australian Quarantine and Inspection Service (AQIS)</w:t>
      </w:r>
    </w:p>
    <w:p w:rsidR="007B2912" w:rsidRDefault="007B2912" w:rsidP="00EB419A">
      <w:pPr>
        <w:spacing w:before="60" w:after="60"/>
      </w:pPr>
      <w:r w:rsidRPr="00457512">
        <w:t>Australian Pesticides and Veterinary Medicine Authority (APVMA)</w:t>
      </w:r>
    </w:p>
    <w:p w:rsidR="007B2912" w:rsidRDefault="007B2912" w:rsidP="00EB419A">
      <w:pPr>
        <w:spacing w:before="60" w:after="60"/>
      </w:pPr>
      <w:r w:rsidRPr="00726C35">
        <w:t>Office of the Gene Technology Regulator</w:t>
      </w:r>
      <w:r>
        <w:t xml:space="preserve"> (OGTR)</w:t>
      </w:r>
    </w:p>
    <w:p w:rsidR="007B2912" w:rsidRPr="00457512" w:rsidRDefault="007B2912" w:rsidP="00EB419A">
      <w:pPr>
        <w:spacing w:before="60" w:after="60"/>
      </w:pPr>
      <w:r w:rsidRPr="00726C35">
        <w:t>State and Territory regulatory authorities</w:t>
      </w:r>
    </w:p>
    <w:p w:rsidR="007B2912" w:rsidRDefault="007B2912" w:rsidP="00EB419A">
      <w:pPr>
        <w:spacing w:before="60" w:after="60"/>
      </w:pPr>
      <w:r w:rsidRPr="00726C35">
        <w:t>New Zealand Ministry of Agriculture and Fisheries (NZ MAF),</w:t>
      </w:r>
    </w:p>
    <w:p w:rsidR="007B2912" w:rsidRPr="003525B1" w:rsidRDefault="007B2912" w:rsidP="00EB419A">
      <w:pPr>
        <w:spacing w:before="60" w:after="60"/>
        <w:rPr>
          <w:sz w:val="18"/>
          <w:szCs w:val="18"/>
        </w:rPr>
      </w:pPr>
      <w:r w:rsidRPr="00726C35">
        <w:t>Australian Food and Groceries Council (AFGC)</w:t>
      </w:r>
      <w:r w:rsidRPr="00726C35">
        <w:rPr>
          <w:sz w:val="18"/>
          <w:szCs w:val="18"/>
        </w:rPr>
        <w:t xml:space="preserve"> </w:t>
      </w:r>
    </w:p>
    <w:p w:rsidR="0015138A" w:rsidRDefault="00356B88" w:rsidP="00EB419A">
      <w:pPr>
        <w:pStyle w:val="Heading1"/>
      </w:pPr>
      <w:bookmarkStart w:id="117" w:name="_Toc332960044"/>
      <w:r>
        <w:lastRenderedPageBreak/>
        <w:t xml:space="preserve">Annex 3: List of </w:t>
      </w:r>
      <w:r w:rsidR="0015138A">
        <w:t>references</w:t>
      </w:r>
      <w:bookmarkEnd w:id="117"/>
    </w:p>
    <w:p w:rsidR="0015138A" w:rsidRDefault="0015138A" w:rsidP="00EB419A">
      <w:pPr>
        <w:pStyle w:val="Heading2"/>
      </w:pPr>
      <w:bookmarkStart w:id="118" w:name="_Toc332960045"/>
      <w:r>
        <w:t>FAO/WHO Documents:</w:t>
      </w:r>
      <w:bookmarkEnd w:id="118"/>
    </w:p>
    <w:p w:rsidR="00591E79" w:rsidRPr="0015138A" w:rsidRDefault="0015138A" w:rsidP="00896106">
      <w:pPr>
        <w:spacing w:after="120" w:line="240" w:lineRule="auto"/>
        <w:rPr>
          <w:rFonts w:asciiTheme="minorHAnsi" w:hAnsiTheme="minorHAnsi" w:cstheme="minorHAnsi"/>
        </w:rPr>
      </w:pPr>
      <w:proofErr w:type="gramStart"/>
      <w:r w:rsidRPr="0015138A">
        <w:rPr>
          <w:rFonts w:asciiTheme="minorHAnsi" w:hAnsiTheme="minorHAnsi" w:cstheme="minorHAnsi"/>
        </w:rPr>
        <w:t>FAO/WHO (1995) Application of risk analysis to food standards issues.</w:t>
      </w:r>
      <w:proofErr w:type="gramEnd"/>
      <w:r w:rsidRPr="0015138A">
        <w:rPr>
          <w:rFonts w:asciiTheme="minorHAnsi" w:hAnsiTheme="minorHAnsi" w:cstheme="minorHAnsi"/>
        </w:rPr>
        <w:t xml:space="preserve"> Report</w:t>
      </w:r>
      <w:r w:rsidR="00591E79">
        <w:rPr>
          <w:rFonts w:asciiTheme="minorHAnsi" w:hAnsiTheme="minorHAnsi" w:cstheme="minorHAnsi"/>
        </w:rPr>
        <w:t xml:space="preserve"> </w:t>
      </w:r>
      <w:r w:rsidRPr="0015138A">
        <w:rPr>
          <w:rFonts w:asciiTheme="minorHAnsi" w:hAnsiTheme="minorHAnsi" w:cstheme="minorHAnsi"/>
        </w:rPr>
        <w:t>of the Joint FAO/WHO Expert Consultation, Geneva, 13–17 March 1995.</w:t>
      </w:r>
      <w:r w:rsidR="00591E79">
        <w:rPr>
          <w:rFonts w:asciiTheme="minorHAnsi" w:hAnsiTheme="minorHAnsi" w:cstheme="minorHAnsi"/>
        </w:rPr>
        <w:t xml:space="preserve"> </w:t>
      </w:r>
      <w:r w:rsidRPr="0015138A">
        <w:rPr>
          <w:rFonts w:asciiTheme="minorHAnsi" w:hAnsiTheme="minorHAnsi" w:cstheme="minorHAnsi"/>
        </w:rPr>
        <w:t xml:space="preserve">Geneva, World Health Organization (WHO/FNU/FOS/95.3; </w:t>
      </w:r>
      <w:hyperlink r:id="rId14" w:history="1">
        <w:r w:rsidR="00591E79" w:rsidRPr="00001353">
          <w:rPr>
            <w:rStyle w:val="Hyperlink"/>
            <w:rFonts w:asciiTheme="minorHAnsi" w:hAnsiTheme="minorHAnsi" w:cstheme="minorHAnsi"/>
          </w:rPr>
          <w:t>http://www.who.int/foodsafety/publications/micro/en/march1995.pdf</w:t>
        </w:r>
      </w:hyperlink>
      <w:r w:rsidRPr="0015138A">
        <w:rPr>
          <w:rFonts w:asciiTheme="minorHAnsi" w:hAnsiTheme="minorHAnsi" w:cstheme="minorHAnsi"/>
        </w:rPr>
        <w:t>).</w:t>
      </w:r>
    </w:p>
    <w:p w:rsidR="0015138A" w:rsidRPr="0015138A" w:rsidRDefault="0015138A" w:rsidP="00EB419A">
      <w:pPr>
        <w:spacing w:after="120" w:line="240" w:lineRule="auto"/>
        <w:rPr>
          <w:rFonts w:asciiTheme="minorHAnsi" w:hAnsiTheme="minorHAnsi" w:cstheme="minorHAnsi"/>
        </w:rPr>
      </w:pPr>
      <w:proofErr w:type="gramStart"/>
      <w:r w:rsidRPr="0015138A">
        <w:rPr>
          <w:rFonts w:asciiTheme="minorHAnsi" w:hAnsiTheme="minorHAnsi" w:cstheme="minorHAnsi"/>
        </w:rPr>
        <w:t>FAO/WHO (2006) Food safety risk analysis—A guide for national food safety</w:t>
      </w:r>
      <w:r w:rsidR="00591E79">
        <w:rPr>
          <w:rFonts w:asciiTheme="minorHAnsi" w:hAnsiTheme="minorHAnsi" w:cstheme="minorHAnsi"/>
        </w:rPr>
        <w:t xml:space="preserve"> </w:t>
      </w:r>
      <w:r w:rsidRPr="0015138A">
        <w:rPr>
          <w:rFonts w:asciiTheme="minorHAnsi" w:hAnsiTheme="minorHAnsi" w:cstheme="minorHAnsi"/>
        </w:rPr>
        <w:t>authorities.</w:t>
      </w:r>
      <w:proofErr w:type="gramEnd"/>
      <w:r w:rsidRPr="0015138A">
        <w:rPr>
          <w:rFonts w:asciiTheme="minorHAnsi" w:hAnsiTheme="minorHAnsi" w:cstheme="minorHAnsi"/>
        </w:rPr>
        <w:t xml:space="preserve"> </w:t>
      </w:r>
      <w:proofErr w:type="gramStart"/>
      <w:r w:rsidRPr="0015138A">
        <w:rPr>
          <w:rFonts w:asciiTheme="minorHAnsi" w:hAnsiTheme="minorHAnsi" w:cstheme="minorHAnsi"/>
        </w:rPr>
        <w:t>Rome, Food and Agriculture Organization of the United Nations</w:t>
      </w:r>
      <w:r w:rsidR="00591E79">
        <w:rPr>
          <w:rFonts w:asciiTheme="minorHAnsi" w:hAnsiTheme="minorHAnsi" w:cstheme="minorHAnsi"/>
        </w:rPr>
        <w:t xml:space="preserve"> </w:t>
      </w:r>
      <w:r w:rsidRPr="0015138A">
        <w:rPr>
          <w:rFonts w:asciiTheme="minorHAnsi" w:hAnsiTheme="minorHAnsi" w:cstheme="minorHAnsi"/>
        </w:rPr>
        <w:t>and World Health Organization (FAO Food and Nutrition Paper, No. 87; http://</w:t>
      </w:r>
      <w:hyperlink r:id="rId15" w:history="1">
        <w:r w:rsidRPr="0015138A">
          <w:rPr>
            <w:rStyle w:val="Hyperlink"/>
            <w:rFonts w:asciiTheme="minorHAnsi" w:hAnsiTheme="minorHAnsi" w:cstheme="minorHAnsi"/>
          </w:rPr>
          <w:t>www.who.int/foodsafety/publications/micro/riskanalysis06/en/</w:t>
        </w:r>
      </w:hyperlink>
      <w:r w:rsidRPr="0015138A">
        <w:rPr>
          <w:rFonts w:asciiTheme="minorHAnsi" w:hAnsiTheme="minorHAnsi" w:cstheme="minorHAnsi"/>
        </w:rPr>
        <w:t>).</w:t>
      </w:r>
      <w:proofErr w:type="gramEnd"/>
    </w:p>
    <w:p w:rsidR="0015138A" w:rsidRPr="0015138A" w:rsidRDefault="0015138A" w:rsidP="00EB419A">
      <w:pPr>
        <w:spacing w:after="120" w:line="240" w:lineRule="auto"/>
        <w:rPr>
          <w:rFonts w:asciiTheme="minorHAnsi" w:hAnsiTheme="minorHAnsi" w:cstheme="minorHAnsi"/>
        </w:rPr>
      </w:pPr>
      <w:r w:rsidRPr="0015138A">
        <w:rPr>
          <w:rFonts w:asciiTheme="minorHAnsi" w:hAnsiTheme="minorHAnsi" w:cstheme="minorHAnsi"/>
        </w:rPr>
        <w:t>Exposure assessment of microbiological hazards in food: G</w:t>
      </w:r>
      <w:r w:rsidR="00EB419A">
        <w:rPr>
          <w:rFonts w:asciiTheme="minorHAnsi" w:hAnsiTheme="minorHAnsi" w:cstheme="minorHAnsi"/>
        </w:rPr>
        <w:t xml:space="preserve">uidelines (2008), MRA Series 7 </w:t>
      </w:r>
      <w:hyperlink r:id="rId16" w:history="1">
        <w:r w:rsidRPr="0015138A">
          <w:rPr>
            <w:rStyle w:val="Hyperlink"/>
            <w:rFonts w:asciiTheme="minorHAnsi" w:hAnsiTheme="minorHAnsi" w:cstheme="minorHAnsi"/>
          </w:rPr>
          <w:t>http://www.who.int/entity/foodsafety/publications/micro/mra7/en/index.html</w:t>
        </w:r>
      </w:hyperlink>
      <w:r w:rsidRPr="0015138A">
        <w:rPr>
          <w:rFonts w:asciiTheme="minorHAnsi" w:hAnsiTheme="minorHAnsi" w:cstheme="minorHAnsi"/>
        </w:rPr>
        <w:t xml:space="preserve"> </w:t>
      </w:r>
    </w:p>
    <w:p w:rsidR="0015138A" w:rsidRPr="0015138A" w:rsidRDefault="0015138A" w:rsidP="00EB419A">
      <w:pPr>
        <w:spacing w:after="120" w:line="240" w:lineRule="auto"/>
        <w:rPr>
          <w:rFonts w:asciiTheme="minorHAnsi" w:hAnsiTheme="minorHAnsi" w:cstheme="minorHAnsi"/>
        </w:rPr>
      </w:pPr>
      <w:proofErr w:type="gramStart"/>
      <w:r w:rsidRPr="0015138A">
        <w:rPr>
          <w:rFonts w:asciiTheme="minorHAnsi" w:hAnsiTheme="minorHAnsi" w:cstheme="minorHAnsi"/>
        </w:rPr>
        <w:t xml:space="preserve">Hazard Characterization for Pathogens in Food </w:t>
      </w:r>
      <w:r w:rsidR="00EB419A">
        <w:rPr>
          <w:rFonts w:asciiTheme="minorHAnsi" w:hAnsiTheme="minorHAnsi" w:cstheme="minorHAnsi"/>
        </w:rPr>
        <w:t>and Water, MRA Series 3 (2003).</w:t>
      </w:r>
      <w:proofErr w:type="gramEnd"/>
      <w:r w:rsidR="00EB419A">
        <w:rPr>
          <w:rFonts w:asciiTheme="minorHAnsi" w:hAnsiTheme="minorHAnsi" w:cstheme="minorHAnsi"/>
        </w:rPr>
        <w:t xml:space="preserve"> </w:t>
      </w:r>
      <w:hyperlink r:id="rId17" w:history="1">
        <w:r w:rsidRPr="0015138A">
          <w:rPr>
            <w:rStyle w:val="Hyperlink"/>
            <w:rFonts w:asciiTheme="minorHAnsi" w:hAnsiTheme="minorHAnsi" w:cstheme="minorHAnsi"/>
          </w:rPr>
          <w:t>http://www.who.int/entity/foodsafety/publications/micro/pathogen/en/index.html</w:t>
        </w:r>
      </w:hyperlink>
      <w:r w:rsidR="00EB419A">
        <w:rPr>
          <w:rFonts w:asciiTheme="minorHAnsi" w:hAnsiTheme="minorHAnsi" w:cstheme="minorHAnsi"/>
        </w:rPr>
        <w:t xml:space="preserve"> </w:t>
      </w:r>
    </w:p>
    <w:p w:rsidR="0015138A" w:rsidRPr="0015138A" w:rsidRDefault="0015138A" w:rsidP="00EB419A">
      <w:pPr>
        <w:spacing w:after="120" w:line="240" w:lineRule="auto"/>
        <w:rPr>
          <w:rFonts w:asciiTheme="minorHAnsi" w:hAnsiTheme="minorHAnsi" w:cstheme="minorHAnsi"/>
        </w:rPr>
      </w:pPr>
      <w:r w:rsidRPr="0015138A">
        <w:rPr>
          <w:rFonts w:asciiTheme="minorHAnsi" w:hAnsiTheme="minorHAnsi" w:cstheme="minorHAnsi"/>
        </w:rPr>
        <w:t xml:space="preserve">Principles and guidelines for the conduct of microbiological risk assessment, CAC/GL-30 (1999) </w:t>
      </w:r>
      <w:hyperlink r:id="rId18" w:history="1">
        <w:r w:rsidRPr="0015138A">
          <w:rPr>
            <w:rStyle w:val="Hyperlink"/>
            <w:rFonts w:asciiTheme="minorHAnsi" w:hAnsiTheme="minorHAnsi" w:cstheme="minorHAnsi"/>
          </w:rPr>
          <w:t>http://www.who.int/entity/foodsafety/publications/micro/cac1999/en/index.html</w:t>
        </w:r>
      </w:hyperlink>
      <w:r w:rsidRPr="0015138A">
        <w:rPr>
          <w:rFonts w:asciiTheme="minorHAnsi" w:hAnsiTheme="minorHAnsi" w:cstheme="minorHAnsi"/>
        </w:rPr>
        <w:t xml:space="preserve"> </w:t>
      </w:r>
    </w:p>
    <w:p w:rsidR="00EB419A" w:rsidRDefault="0015138A" w:rsidP="00EB419A">
      <w:pPr>
        <w:spacing w:after="0" w:line="240" w:lineRule="auto"/>
        <w:rPr>
          <w:rFonts w:asciiTheme="minorHAnsi" w:hAnsiTheme="minorHAnsi" w:cstheme="minorHAnsi"/>
        </w:rPr>
      </w:pPr>
      <w:proofErr w:type="gramStart"/>
      <w:r w:rsidRPr="0015138A">
        <w:rPr>
          <w:rFonts w:asciiTheme="minorHAnsi" w:hAnsiTheme="minorHAnsi" w:cstheme="minorHAnsi"/>
        </w:rPr>
        <w:t>Risk assessment of microbiological hazards in food, a joint FAO/WHO expert consultation, Geneva</w:t>
      </w:r>
      <w:r w:rsidR="00EB419A">
        <w:rPr>
          <w:rFonts w:asciiTheme="minorHAnsi" w:hAnsiTheme="minorHAnsi" w:cstheme="minorHAnsi"/>
        </w:rPr>
        <w:t>, Switzerland, 15-19 March 1999.</w:t>
      </w:r>
      <w:proofErr w:type="gramEnd"/>
    </w:p>
    <w:p w:rsidR="0015138A" w:rsidRPr="0015138A" w:rsidRDefault="00CE1E3C" w:rsidP="00EB419A">
      <w:pPr>
        <w:spacing w:after="120" w:line="240" w:lineRule="auto"/>
        <w:rPr>
          <w:rFonts w:asciiTheme="minorHAnsi" w:hAnsiTheme="minorHAnsi" w:cstheme="minorHAnsi"/>
        </w:rPr>
      </w:pPr>
      <w:hyperlink r:id="rId19" w:history="1">
        <w:r w:rsidR="0015138A" w:rsidRPr="0015138A">
          <w:rPr>
            <w:rStyle w:val="Hyperlink"/>
            <w:rFonts w:asciiTheme="minorHAnsi" w:hAnsiTheme="minorHAnsi" w:cstheme="minorHAnsi"/>
          </w:rPr>
          <w:t>http://www.who.int/entity/foodsafety/publications/micro/march1999/en/index.html</w:t>
        </w:r>
      </w:hyperlink>
      <w:r w:rsidR="0015138A" w:rsidRPr="0015138A">
        <w:rPr>
          <w:rFonts w:asciiTheme="minorHAnsi" w:hAnsiTheme="minorHAnsi" w:cstheme="minorHAnsi"/>
        </w:rPr>
        <w:t xml:space="preserve"> </w:t>
      </w:r>
    </w:p>
    <w:p w:rsidR="0015138A" w:rsidRPr="0015138A" w:rsidRDefault="0015138A" w:rsidP="00EB419A">
      <w:pPr>
        <w:spacing w:after="120" w:line="240" w:lineRule="auto"/>
        <w:rPr>
          <w:rFonts w:asciiTheme="minorHAnsi" w:hAnsiTheme="minorHAnsi" w:cstheme="minorHAnsi"/>
        </w:rPr>
      </w:pPr>
      <w:r w:rsidRPr="0015138A">
        <w:rPr>
          <w:rFonts w:asciiTheme="minorHAnsi" w:hAnsiTheme="minorHAnsi" w:cstheme="minorHAnsi"/>
        </w:rPr>
        <w:t>EHC 240 - Principles and methods for the risk assessment of c</w:t>
      </w:r>
      <w:r w:rsidR="00EB419A">
        <w:rPr>
          <w:rFonts w:asciiTheme="minorHAnsi" w:hAnsiTheme="minorHAnsi" w:cstheme="minorHAnsi"/>
        </w:rPr>
        <w:t xml:space="preserve">hemicals in food, FAO/WHO 2009. </w:t>
      </w:r>
      <w:hyperlink r:id="rId20" w:history="1">
        <w:r w:rsidRPr="0015138A">
          <w:rPr>
            <w:rStyle w:val="Hyperlink"/>
            <w:rFonts w:asciiTheme="minorHAnsi" w:hAnsiTheme="minorHAnsi" w:cstheme="minorHAnsi"/>
          </w:rPr>
          <w:t>http://www.who.int/foodsafety/chem/principles/en/index1.html</w:t>
        </w:r>
      </w:hyperlink>
      <w:r w:rsidRPr="0015138A">
        <w:rPr>
          <w:rFonts w:asciiTheme="minorHAnsi" w:hAnsiTheme="minorHAnsi" w:cstheme="minorHAnsi"/>
        </w:rPr>
        <w:t xml:space="preserve"> </w:t>
      </w:r>
    </w:p>
    <w:p w:rsidR="0015138A" w:rsidRPr="0015138A" w:rsidRDefault="0015138A" w:rsidP="00EB419A">
      <w:pPr>
        <w:spacing w:after="120" w:line="240" w:lineRule="auto"/>
        <w:rPr>
          <w:rFonts w:asciiTheme="minorHAnsi" w:hAnsiTheme="minorHAnsi" w:cstheme="minorHAnsi"/>
        </w:rPr>
      </w:pPr>
      <w:proofErr w:type="gramStart"/>
      <w:r w:rsidRPr="0015138A">
        <w:rPr>
          <w:rFonts w:asciiTheme="minorHAnsi" w:hAnsiTheme="minorHAnsi" w:cstheme="minorHAnsi"/>
        </w:rPr>
        <w:t>A Model for Establishing Upper Levels of Intake for Nutrients and Related Substances</w:t>
      </w:r>
      <w:r w:rsidR="00591E79">
        <w:rPr>
          <w:rFonts w:asciiTheme="minorHAnsi" w:hAnsiTheme="minorHAnsi" w:cstheme="minorHAnsi"/>
        </w:rPr>
        <w:t>.</w:t>
      </w:r>
      <w:proofErr w:type="gramEnd"/>
      <w:r w:rsidR="00591E79">
        <w:rPr>
          <w:rFonts w:asciiTheme="minorHAnsi" w:hAnsiTheme="minorHAnsi" w:cstheme="minorHAnsi"/>
        </w:rPr>
        <w:t xml:space="preserve"> </w:t>
      </w:r>
      <w:r w:rsidRPr="0015138A">
        <w:rPr>
          <w:rFonts w:asciiTheme="minorHAnsi" w:hAnsiTheme="minorHAnsi" w:cstheme="minorHAnsi"/>
        </w:rPr>
        <w:t>Report of a Joint FAO/WHO Technical Workshop on Nutrient Risk Assessment</w:t>
      </w:r>
      <w:r w:rsidR="00591E79">
        <w:rPr>
          <w:rFonts w:asciiTheme="minorHAnsi" w:hAnsiTheme="minorHAnsi" w:cstheme="minorHAnsi"/>
        </w:rPr>
        <w:t xml:space="preserve"> </w:t>
      </w:r>
      <w:r w:rsidRPr="0015138A">
        <w:rPr>
          <w:rFonts w:asciiTheme="minorHAnsi" w:hAnsiTheme="minorHAnsi" w:cstheme="minorHAnsi"/>
        </w:rPr>
        <w:t xml:space="preserve">WHO Headquarters, Geneva, Switzerland 2-6 May 2005. </w:t>
      </w:r>
      <w:hyperlink r:id="rId21" w:history="1">
        <w:r w:rsidRPr="0015138A">
          <w:rPr>
            <w:rStyle w:val="Hyperlink"/>
            <w:rFonts w:asciiTheme="minorHAnsi" w:hAnsiTheme="minorHAnsi" w:cstheme="minorHAnsi"/>
          </w:rPr>
          <w:t>http://www.who.int/entity/ipcs/highlights/full_report.pdf</w:t>
        </w:r>
      </w:hyperlink>
      <w:r w:rsidRPr="0015138A">
        <w:rPr>
          <w:rFonts w:asciiTheme="minorHAnsi" w:hAnsiTheme="minorHAnsi" w:cstheme="minorHAnsi"/>
        </w:rPr>
        <w:t xml:space="preserve"> </w:t>
      </w:r>
    </w:p>
    <w:p w:rsidR="0015138A" w:rsidRPr="0015138A" w:rsidRDefault="0015138A" w:rsidP="00EB419A">
      <w:pPr>
        <w:spacing w:after="120" w:line="240" w:lineRule="auto"/>
        <w:rPr>
          <w:rFonts w:asciiTheme="minorHAnsi" w:hAnsiTheme="minorHAnsi" w:cstheme="minorHAnsi"/>
        </w:rPr>
      </w:pPr>
      <w:proofErr w:type="gramStart"/>
      <w:r w:rsidRPr="0015138A">
        <w:rPr>
          <w:rFonts w:asciiTheme="minorHAnsi" w:hAnsiTheme="minorHAnsi" w:cstheme="minorHAnsi"/>
        </w:rPr>
        <w:t>Benefits and risks of the use of chlorine-containing disinfectants in food production and food processing, FAO and WHO 2009.</w:t>
      </w:r>
      <w:proofErr w:type="gramEnd"/>
      <w:r w:rsidR="00591E79">
        <w:rPr>
          <w:rFonts w:asciiTheme="minorHAnsi" w:hAnsiTheme="minorHAnsi" w:cstheme="minorHAnsi"/>
        </w:rPr>
        <w:t xml:space="preserve"> </w:t>
      </w:r>
      <w:hyperlink r:id="rId22" w:history="1">
        <w:r w:rsidRPr="0015138A">
          <w:rPr>
            <w:rStyle w:val="Hyperlink"/>
            <w:rFonts w:asciiTheme="minorHAnsi" w:hAnsiTheme="minorHAnsi" w:cstheme="minorHAnsi"/>
          </w:rPr>
          <w:t>http://whqlibdoc.who.int/publications/2009/9789241598941_eng.pdf</w:t>
        </w:r>
      </w:hyperlink>
      <w:r w:rsidRPr="0015138A">
        <w:rPr>
          <w:rFonts w:asciiTheme="minorHAnsi" w:hAnsiTheme="minorHAnsi" w:cstheme="minorHAnsi"/>
        </w:rPr>
        <w:t xml:space="preserve"> </w:t>
      </w:r>
    </w:p>
    <w:p w:rsidR="0015138A" w:rsidRPr="0015138A" w:rsidRDefault="0015138A" w:rsidP="00EB419A">
      <w:pPr>
        <w:spacing w:after="120" w:line="240" w:lineRule="auto"/>
        <w:rPr>
          <w:rFonts w:asciiTheme="minorHAnsi" w:hAnsiTheme="minorHAnsi" w:cstheme="minorHAnsi"/>
        </w:rPr>
      </w:pPr>
      <w:proofErr w:type="gramStart"/>
      <w:r w:rsidRPr="0015138A">
        <w:rPr>
          <w:rFonts w:asciiTheme="minorHAnsi" w:hAnsiTheme="minorHAnsi" w:cstheme="minorHAnsi"/>
        </w:rPr>
        <w:t>Report of the Joint FAO/WHO Expert Consultation on the Risks and Benefits of Fish Consumption, FAO and WHO 2011.</w:t>
      </w:r>
      <w:proofErr w:type="gramEnd"/>
      <w:r w:rsidRPr="0015138A">
        <w:rPr>
          <w:rFonts w:asciiTheme="minorHAnsi" w:hAnsiTheme="minorHAnsi" w:cstheme="minorHAnsi"/>
        </w:rPr>
        <w:t xml:space="preserve"> </w:t>
      </w:r>
      <w:hyperlink r:id="rId23" w:history="1">
        <w:r w:rsidRPr="0015138A">
          <w:rPr>
            <w:rStyle w:val="Hyperlink"/>
            <w:rFonts w:asciiTheme="minorHAnsi" w:hAnsiTheme="minorHAnsi" w:cstheme="minorHAnsi"/>
          </w:rPr>
          <w:t>http://whqlibdoc.who.int/publications/2011/9789241564311_eng.pdf</w:t>
        </w:r>
      </w:hyperlink>
      <w:r w:rsidRPr="0015138A">
        <w:rPr>
          <w:rFonts w:asciiTheme="minorHAnsi" w:hAnsiTheme="minorHAnsi" w:cstheme="minorHAnsi"/>
          <w:lang w:eastAsia="zh-CN"/>
        </w:rPr>
        <w:t xml:space="preserve"> </w:t>
      </w:r>
    </w:p>
    <w:p w:rsidR="0015138A" w:rsidRPr="00DF5A83" w:rsidRDefault="0015138A" w:rsidP="00EB419A">
      <w:pPr>
        <w:spacing w:after="120" w:line="240" w:lineRule="auto"/>
        <w:rPr>
          <w:rFonts w:asciiTheme="minorHAnsi" w:hAnsiTheme="minorHAnsi" w:cstheme="minorHAnsi"/>
          <w:lang w:val="es-ES"/>
        </w:rPr>
      </w:pPr>
      <w:proofErr w:type="gramStart"/>
      <w:r w:rsidRPr="0015138A">
        <w:rPr>
          <w:rFonts w:asciiTheme="minorHAnsi" w:hAnsiTheme="minorHAnsi" w:cstheme="minorHAnsi"/>
        </w:rPr>
        <w:t>FAO/WHO Framework for the</w:t>
      </w:r>
      <w:r w:rsidRPr="0015138A">
        <w:rPr>
          <w:rFonts w:asciiTheme="minorHAnsi" w:hAnsiTheme="minorHAnsi" w:cstheme="minorHAnsi"/>
          <w:lang w:eastAsia="zh-CN"/>
        </w:rPr>
        <w:t xml:space="preserve"> </w:t>
      </w:r>
      <w:r w:rsidRPr="0015138A">
        <w:rPr>
          <w:rFonts w:asciiTheme="minorHAnsi" w:hAnsiTheme="minorHAnsi" w:cstheme="minorHAnsi"/>
        </w:rPr>
        <w:t>Provision of Scientific Advice</w:t>
      </w:r>
      <w:r w:rsidRPr="0015138A">
        <w:rPr>
          <w:rFonts w:asciiTheme="minorHAnsi" w:hAnsiTheme="minorHAnsi" w:cstheme="minorHAnsi"/>
          <w:lang w:eastAsia="zh-CN"/>
        </w:rPr>
        <w:t xml:space="preserve"> </w:t>
      </w:r>
      <w:r w:rsidRPr="0015138A">
        <w:rPr>
          <w:rFonts w:asciiTheme="minorHAnsi" w:hAnsiTheme="minorHAnsi" w:cstheme="minorHAnsi"/>
        </w:rPr>
        <w:t>on Food Safety and Nutrition, FAO and WHO 2007.</w:t>
      </w:r>
      <w:proofErr w:type="gramEnd"/>
      <w:r w:rsidRPr="0015138A">
        <w:rPr>
          <w:rFonts w:asciiTheme="minorHAnsi" w:hAnsiTheme="minorHAnsi" w:cstheme="minorHAnsi"/>
          <w:lang w:eastAsia="zh-CN"/>
        </w:rPr>
        <w:t xml:space="preserve"> </w:t>
      </w:r>
      <w:r w:rsidR="00591E79">
        <w:rPr>
          <w:rFonts w:asciiTheme="minorHAnsi" w:hAnsiTheme="minorHAnsi" w:cstheme="minorHAnsi"/>
        </w:rPr>
        <w:t xml:space="preserve"> </w:t>
      </w:r>
      <w:hyperlink r:id="rId24" w:history="1">
        <w:r w:rsidRPr="0015138A">
          <w:rPr>
            <w:rStyle w:val="Hyperlink"/>
            <w:rFonts w:asciiTheme="minorHAnsi" w:hAnsiTheme="minorHAnsi" w:cstheme="minorHAnsi"/>
            <w:lang w:val="es-ES"/>
          </w:rPr>
          <w:t>ftp://ftp.fao.org/docrep/fao/010/a1296e/a1296e00.pdf</w:t>
        </w:r>
      </w:hyperlink>
      <w:r w:rsidRPr="0015138A">
        <w:rPr>
          <w:rFonts w:asciiTheme="minorHAnsi" w:hAnsiTheme="minorHAnsi" w:cstheme="minorHAnsi"/>
          <w:lang w:val="es-ES" w:eastAsia="zh-CN"/>
        </w:rPr>
        <w:t xml:space="preserve"> </w:t>
      </w:r>
    </w:p>
    <w:p w:rsidR="00B767A3" w:rsidRPr="008D71E1" w:rsidRDefault="0015138A" w:rsidP="00EB419A">
      <w:pPr>
        <w:pStyle w:val="Heading2"/>
        <w:rPr>
          <w:lang w:val="es-ES"/>
        </w:rPr>
      </w:pPr>
      <w:bookmarkStart w:id="119" w:name="_Toc332960046"/>
      <w:r w:rsidRPr="008D71E1">
        <w:rPr>
          <w:lang w:val="es-ES"/>
        </w:rPr>
        <w:t xml:space="preserve">FSANZ </w:t>
      </w:r>
      <w:proofErr w:type="spellStart"/>
      <w:r w:rsidRPr="008D71E1">
        <w:rPr>
          <w:lang w:val="es-ES"/>
        </w:rPr>
        <w:t>Documents</w:t>
      </w:r>
      <w:bookmarkEnd w:id="119"/>
      <w:proofErr w:type="spellEnd"/>
    </w:p>
    <w:p w:rsidR="009E0D63" w:rsidRPr="008D71E1" w:rsidRDefault="009E0D63" w:rsidP="00EB419A">
      <w:pPr>
        <w:spacing w:after="120" w:line="240" w:lineRule="auto"/>
        <w:ind w:right="-188"/>
        <w:rPr>
          <w:rFonts w:asciiTheme="minorHAnsi" w:hAnsiTheme="minorHAnsi" w:cstheme="minorHAnsi"/>
          <w:lang w:val="en-US"/>
        </w:rPr>
      </w:pPr>
      <w:r w:rsidRPr="008D71E1">
        <w:rPr>
          <w:rFonts w:asciiTheme="minorHAnsi" w:hAnsiTheme="minorHAnsi" w:cstheme="minorHAnsi"/>
          <w:lang w:val="en-US"/>
        </w:rPr>
        <w:t xml:space="preserve">2011 </w:t>
      </w:r>
      <w:r w:rsidR="000142CC" w:rsidRPr="008D71E1">
        <w:rPr>
          <w:rFonts w:asciiTheme="minorHAnsi" w:hAnsiTheme="minorHAnsi" w:cstheme="minorHAnsi"/>
          <w:lang w:val="en-US"/>
        </w:rPr>
        <w:t xml:space="preserve">Science Strategy </w:t>
      </w:r>
      <w:r w:rsidRPr="008D71E1">
        <w:rPr>
          <w:rFonts w:asciiTheme="minorHAnsi" w:hAnsiTheme="minorHAnsi" w:cstheme="minorHAnsi"/>
          <w:lang w:val="en-US"/>
        </w:rPr>
        <w:t xml:space="preserve">implementation plan </w:t>
      </w:r>
      <w:hyperlink r:id="rId25" w:tgtFrame="_blank" w:history="1">
        <w:r w:rsidRPr="008D71E1">
          <w:rPr>
            <w:rStyle w:val="Hyperlink"/>
            <w:rFonts w:asciiTheme="minorHAnsi" w:hAnsiTheme="minorHAnsi" w:cstheme="minorHAnsi"/>
            <w:lang w:val="en-US"/>
          </w:rPr>
          <w:t>http://www.foodstandards.gov.au/_srcfiles/2011%20Implementation%20plan%20FOR%20WEB1.pdf</w:t>
        </w:r>
      </w:hyperlink>
      <w:r w:rsidRPr="008D71E1">
        <w:rPr>
          <w:rFonts w:asciiTheme="minorHAnsi" w:hAnsiTheme="minorHAnsi" w:cstheme="minorHAnsi"/>
          <w:color w:val="1F497D"/>
          <w:lang w:val="en-US"/>
        </w:rPr>
        <w:t xml:space="preserve"> </w:t>
      </w:r>
    </w:p>
    <w:p w:rsidR="009E0D63" w:rsidRPr="0015138A" w:rsidRDefault="00A54193" w:rsidP="00EB419A">
      <w:pPr>
        <w:spacing w:after="120" w:line="240" w:lineRule="auto"/>
        <w:rPr>
          <w:rFonts w:asciiTheme="minorHAnsi" w:hAnsiTheme="minorHAnsi" w:cstheme="minorHAnsi"/>
        </w:rPr>
      </w:pPr>
      <w:r>
        <w:rPr>
          <w:rFonts w:asciiTheme="minorHAnsi" w:hAnsiTheme="minorHAnsi" w:cstheme="minorHAnsi"/>
        </w:rPr>
        <w:t xml:space="preserve">The </w:t>
      </w:r>
      <w:r w:rsidR="009E0D63" w:rsidRPr="0015138A">
        <w:rPr>
          <w:rFonts w:asciiTheme="minorHAnsi" w:hAnsiTheme="minorHAnsi" w:cstheme="minorHAnsi"/>
        </w:rPr>
        <w:t xml:space="preserve">Analysis of food related health risks </w:t>
      </w:r>
      <w:hyperlink r:id="rId26" w:tgtFrame="_blank" w:history="1">
        <w:r w:rsidR="009E0D63" w:rsidRPr="0015138A">
          <w:rPr>
            <w:rStyle w:val="Hyperlink"/>
            <w:rFonts w:asciiTheme="minorHAnsi" w:hAnsiTheme="minorHAnsi" w:cstheme="minorHAnsi"/>
          </w:rPr>
          <w:t>http://www.foodstandards.gov.au/_srcfiles/Food%20Related%20Health%20Risks%20WEB_FA.pdf</w:t>
        </w:r>
      </w:hyperlink>
    </w:p>
    <w:p w:rsidR="00C815B8" w:rsidRPr="0015138A" w:rsidRDefault="00C815B8" w:rsidP="00EB419A">
      <w:pPr>
        <w:spacing w:after="0" w:line="240" w:lineRule="auto"/>
        <w:rPr>
          <w:rFonts w:asciiTheme="minorHAnsi" w:hAnsiTheme="minorHAnsi" w:cstheme="minorHAnsi"/>
          <w:lang w:val="en"/>
        </w:rPr>
      </w:pPr>
      <w:r w:rsidRPr="0015138A">
        <w:rPr>
          <w:rFonts w:asciiTheme="minorHAnsi" w:hAnsiTheme="minorHAnsi" w:cstheme="minorHAnsi"/>
          <w:lang w:val="en"/>
        </w:rPr>
        <w:t>Application A1005 - Conjugated Linoleic Acid Triglycerides as a Novel Food</w:t>
      </w:r>
    </w:p>
    <w:p w:rsidR="00C815B8" w:rsidRPr="0015138A" w:rsidRDefault="00CE1E3C" w:rsidP="00EB419A">
      <w:pPr>
        <w:spacing w:after="120" w:line="240" w:lineRule="auto"/>
        <w:rPr>
          <w:rFonts w:asciiTheme="minorHAnsi" w:hAnsiTheme="minorHAnsi" w:cstheme="minorHAnsi"/>
        </w:rPr>
      </w:pPr>
      <w:hyperlink r:id="rId27" w:history="1">
        <w:r w:rsidR="00C815B8" w:rsidRPr="0015138A">
          <w:rPr>
            <w:rStyle w:val="Hyperlink"/>
            <w:rFonts w:asciiTheme="minorHAnsi" w:hAnsiTheme="minorHAnsi" w:cstheme="minorHAnsi"/>
          </w:rPr>
          <w:t>http://www.foodstandards.gov.au/foodstandards/applications/applicationa1005conj3859.cfm</w:t>
        </w:r>
      </w:hyperlink>
    </w:p>
    <w:p w:rsidR="00220B77" w:rsidRPr="0015138A" w:rsidRDefault="00220B77" w:rsidP="00EB419A">
      <w:pPr>
        <w:spacing w:after="120" w:line="240" w:lineRule="auto"/>
        <w:rPr>
          <w:rFonts w:asciiTheme="minorHAnsi" w:hAnsiTheme="minorHAnsi" w:cstheme="minorHAnsi"/>
        </w:rPr>
      </w:pPr>
      <w:r w:rsidRPr="0015138A">
        <w:rPr>
          <w:rFonts w:asciiTheme="minorHAnsi" w:hAnsiTheme="minorHAnsi" w:cstheme="minorHAnsi"/>
          <w:lang w:val="en"/>
        </w:rPr>
        <w:t xml:space="preserve">Application A1019 Phytosterol esters in low fat cheese AR SD1 Risk Assessment.  </w:t>
      </w:r>
      <w:hyperlink r:id="rId28" w:history="1">
        <w:r w:rsidRPr="0015138A">
          <w:rPr>
            <w:rStyle w:val="Hyperlink"/>
            <w:rFonts w:asciiTheme="minorHAnsi" w:hAnsiTheme="minorHAnsi" w:cstheme="minorHAnsi"/>
          </w:rPr>
          <w:t>http://www.foodstandards.gov.au/_srcfiles/A1019%20Phytosterol%20esters%20in%20low%20fat%20cheese%20AR%20SD1%20Risk%20Assessment.pdf</w:t>
        </w:r>
      </w:hyperlink>
    </w:p>
    <w:p w:rsidR="00370D18" w:rsidRPr="0015138A" w:rsidRDefault="00370D18" w:rsidP="00EB419A">
      <w:pPr>
        <w:spacing w:after="120" w:line="240" w:lineRule="auto"/>
        <w:rPr>
          <w:rFonts w:asciiTheme="minorHAnsi" w:hAnsiTheme="minorHAnsi" w:cstheme="minorHAnsi"/>
        </w:rPr>
      </w:pPr>
      <w:r w:rsidRPr="0015138A">
        <w:rPr>
          <w:rFonts w:asciiTheme="minorHAnsi" w:hAnsiTheme="minorHAnsi" w:cstheme="minorHAnsi"/>
          <w:lang w:val="en"/>
        </w:rPr>
        <w:lastRenderedPageBreak/>
        <w:t xml:space="preserve">Application A1024 Equivalence of plant sterols, stanols, and their fatty acid esters. </w:t>
      </w:r>
      <w:hyperlink r:id="rId29" w:history="1">
        <w:r w:rsidRPr="0015138A">
          <w:rPr>
            <w:rStyle w:val="Hyperlink"/>
            <w:rFonts w:asciiTheme="minorHAnsi" w:hAnsiTheme="minorHAnsi" w:cstheme="minorHAnsi"/>
          </w:rPr>
          <w:t>http://www.foodstandards.gov.au/_srcfiles/A1024%20Plant%20Stanols%20AppR%20SD1%20Risk%20Assess.pdf</w:t>
        </w:r>
      </w:hyperlink>
    </w:p>
    <w:p w:rsidR="00C815B8" w:rsidRPr="00D432C4" w:rsidRDefault="00C815B8" w:rsidP="00EB419A">
      <w:pPr>
        <w:spacing w:after="120" w:line="240" w:lineRule="auto"/>
        <w:rPr>
          <w:rFonts w:asciiTheme="minorHAnsi" w:hAnsiTheme="minorHAnsi" w:cstheme="minorHAnsi"/>
          <w:lang w:val="en"/>
        </w:rPr>
      </w:pPr>
      <w:r w:rsidRPr="0015138A">
        <w:rPr>
          <w:rFonts w:asciiTheme="minorHAnsi" w:hAnsiTheme="minorHAnsi" w:cstheme="minorHAnsi"/>
          <w:lang w:val="en"/>
        </w:rPr>
        <w:t>Application A1034 - Advantame</w:t>
      </w:r>
      <w:r w:rsidR="00D432C4">
        <w:rPr>
          <w:rFonts w:asciiTheme="minorHAnsi" w:hAnsiTheme="minorHAnsi" w:cstheme="minorHAnsi"/>
          <w:lang w:val="en"/>
        </w:rPr>
        <w:t xml:space="preserve"> as a High Intensity Sweetener </w:t>
      </w:r>
      <w:hyperlink r:id="rId30" w:history="1">
        <w:r w:rsidRPr="0015138A">
          <w:rPr>
            <w:rStyle w:val="Hyperlink"/>
            <w:rFonts w:asciiTheme="minorHAnsi" w:hAnsiTheme="minorHAnsi" w:cstheme="minorHAnsi"/>
          </w:rPr>
          <w:t>http://www.foodstandards.gov.au/foodstandards/applications/applicationa1034adva4493.cfm</w:t>
        </w:r>
      </w:hyperlink>
    </w:p>
    <w:p w:rsidR="00C815B8" w:rsidRPr="00D432C4" w:rsidRDefault="00C815B8" w:rsidP="00EB419A">
      <w:pPr>
        <w:spacing w:after="120" w:line="240" w:lineRule="auto"/>
        <w:rPr>
          <w:rFonts w:asciiTheme="minorHAnsi" w:hAnsiTheme="minorHAnsi" w:cstheme="minorHAnsi"/>
          <w:lang w:val="en"/>
        </w:rPr>
      </w:pPr>
      <w:r w:rsidRPr="0015138A">
        <w:rPr>
          <w:rFonts w:asciiTheme="minorHAnsi" w:hAnsiTheme="minorHAnsi" w:cstheme="minorHAnsi"/>
          <w:lang w:val="en"/>
        </w:rPr>
        <w:t>Application A1042 - Food derived from herbicide</w:t>
      </w:r>
      <w:r w:rsidR="00D432C4">
        <w:rPr>
          <w:rFonts w:asciiTheme="minorHAnsi" w:hAnsiTheme="minorHAnsi" w:cstheme="minorHAnsi"/>
          <w:lang w:val="en"/>
        </w:rPr>
        <w:t>-tolerant corn line DAS-40278-9</w:t>
      </w:r>
      <w:hyperlink r:id="rId31" w:history="1">
        <w:r w:rsidRPr="0015138A">
          <w:rPr>
            <w:rStyle w:val="Hyperlink"/>
            <w:rFonts w:asciiTheme="minorHAnsi" w:hAnsiTheme="minorHAnsi" w:cstheme="minorHAnsi"/>
          </w:rPr>
          <w:t>http://www.foodstandards.gov.au/foodstandards/applications/applicationa1042food4758.cfm</w:t>
        </w:r>
      </w:hyperlink>
    </w:p>
    <w:p w:rsidR="00C815B8" w:rsidRPr="0015138A" w:rsidRDefault="00C815B8" w:rsidP="00EB419A">
      <w:pPr>
        <w:spacing w:after="120" w:line="240" w:lineRule="auto"/>
        <w:rPr>
          <w:rFonts w:asciiTheme="minorHAnsi" w:hAnsiTheme="minorHAnsi" w:cstheme="minorHAnsi"/>
        </w:rPr>
      </w:pPr>
      <w:r w:rsidRPr="0015138A">
        <w:rPr>
          <w:rFonts w:asciiTheme="minorHAnsi" w:hAnsiTheme="minorHAnsi" w:cstheme="minorHAnsi"/>
        </w:rPr>
        <w:t xml:space="preserve">Dietary Modelling peer review </w:t>
      </w:r>
      <w:hyperlink r:id="rId32" w:tgtFrame="_blank" w:history="1">
        <w:r w:rsidRPr="0015138A">
          <w:rPr>
            <w:rStyle w:val="Hyperlink"/>
            <w:rFonts w:asciiTheme="minorHAnsi" w:hAnsiTheme="minorHAnsi" w:cstheme="minorHAnsi"/>
          </w:rPr>
          <w:t>http://www.foodstandards.gov.au/_srcfiles/Dietary%20modelling%20peer%20review%20report.pdf</w:t>
        </w:r>
      </w:hyperlink>
    </w:p>
    <w:p w:rsidR="009E0D63" w:rsidRPr="0015138A" w:rsidRDefault="009E0D63" w:rsidP="00EB419A">
      <w:pPr>
        <w:spacing w:after="120" w:line="240" w:lineRule="auto"/>
        <w:rPr>
          <w:rFonts w:asciiTheme="minorHAnsi" w:hAnsiTheme="minorHAnsi" w:cstheme="minorHAnsi"/>
        </w:rPr>
      </w:pPr>
      <w:r w:rsidRPr="0015138A">
        <w:rPr>
          <w:rFonts w:asciiTheme="minorHAnsi" w:hAnsiTheme="minorHAnsi" w:cstheme="minorHAnsi"/>
        </w:rPr>
        <w:t xml:space="preserve">Food composition review </w:t>
      </w:r>
      <w:hyperlink r:id="rId33" w:tgtFrame="_blank" w:history="1">
        <w:r w:rsidRPr="0015138A">
          <w:rPr>
            <w:rStyle w:val="Hyperlink"/>
            <w:rFonts w:asciiTheme="minorHAnsi" w:hAnsiTheme="minorHAnsi" w:cstheme="minorHAnsi"/>
          </w:rPr>
          <w:t>http://www.foodstandards.gov.au/_srcfiles/Food%20comp%20review%20-%20Final%20Report%20for%20website%20-%20Jul%2011.pdf</w:t>
        </w:r>
      </w:hyperlink>
    </w:p>
    <w:p w:rsidR="00C815B8" w:rsidRPr="0015138A" w:rsidRDefault="001F2EAE" w:rsidP="00EB419A">
      <w:pPr>
        <w:spacing w:after="120" w:line="240" w:lineRule="auto"/>
        <w:rPr>
          <w:rFonts w:asciiTheme="minorHAnsi" w:hAnsiTheme="minorHAnsi" w:cstheme="minorHAnsi"/>
        </w:rPr>
      </w:pPr>
      <w:r>
        <w:rPr>
          <w:rFonts w:asciiTheme="minorHAnsi" w:hAnsiTheme="minorHAnsi" w:cstheme="minorHAnsi"/>
        </w:rPr>
        <w:t xml:space="preserve">FSANZ </w:t>
      </w:r>
      <w:r w:rsidR="00C815B8" w:rsidRPr="0015138A">
        <w:rPr>
          <w:rFonts w:asciiTheme="minorHAnsi" w:hAnsiTheme="minorHAnsi" w:cstheme="minorHAnsi"/>
        </w:rPr>
        <w:t xml:space="preserve">Application Handbook </w:t>
      </w:r>
      <w:hyperlink r:id="rId34" w:tgtFrame="_blank" w:history="1">
        <w:r w:rsidR="00C815B8" w:rsidRPr="0015138A">
          <w:rPr>
            <w:rStyle w:val="Hyperlink"/>
            <w:rFonts w:asciiTheme="minorHAnsi" w:hAnsiTheme="minorHAnsi" w:cstheme="minorHAnsi"/>
          </w:rPr>
          <w:t>http://www.foodstandards.gov.au/_srcfiles/Application%20Handbook%20as%20at%201%20August%202011.pdf</w:t>
        </w:r>
      </w:hyperlink>
    </w:p>
    <w:p w:rsidR="00220B77" w:rsidRPr="0015138A" w:rsidRDefault="00220B77" w:rsidP="00EB419A">
      <w:pPr>
        <w:spacing w:after="120" w:line="240" w:lineRule="auto"/>
        <w:rPr>
          <w:rFonts w:asciiTheme="minorHAnsi" w:hAnsiTheme="minorHAnsi" w:cstheme="minorHAnsi"/>
        </w:rPr>
      </w:pPr>
      <w:proofErr w:type="gramStart"/>
      <w:r w:rsidRPr="0015138A">
        <w:rPr>
          <w:rFonts w:asciiTheme="minorHAnsi" w:hAnsiTheme="minorHAnsi" w:cstheme="minorHAnsi"/>
        </w:rPr>
        <w:t>FSANZ project management handbook.</w:t>
      </w:r>
      <w:proofErr w:type="gramEnd"/>
      <w:r w:rsidRPr="0015138A">
        <w:rPr>
          <w:rFonts w:asciiTheme="minorHAnsi" w:hAnsiTheme="minorHAnsi" w:cstheme="minorHAnsi"/>
        </w:rPr>
        <w:t xml:space="preserve"> </w:t>
      </w:r>
      <w:proofErr w:type="gramStart"/>
      <w:r w:rsidRPr="0015138A">
        <w:rPr>
          <w:rFonts w:asciiTheme="minorHAnsi" w:hAnsiTheme="minorHAnsi" w:cstheme="minorHAnsi"/>
        </w:rPr>
        <w:t>Internal working document.</w:t>
      </w:r>
      <w:proofErr w:type="gramEnd"/>
    </w:p>
    <w:p w:rsidR="009E0D63" w:rsidRPr="0015138A" w:rsidRDefault="009E0D63" w:rsidP="00EB419A">
      <w:pPr>
        <w:spacing w:after="120" w:line="240" w:lineRule="auto"/>
        <w:rPr>
          <w:rFonts w:asciiTheme="minorHAnsi" w:hAnsiTheme="minorHAnsi" w:cstheme="minorHAnsi"/>
        </w:rPr>
      </w:pPr>
      <w:r w:rsidRPr="0015138A">
        <w:rPr>
          <w:rFonts w:asciiTheme="minorHAnsi" w:hAnsiTheme="minorHAnsi" w:cstheme="minorHAnsi"/>
        </w:rPr>
        <w:t xml:space="preserve">GM peer review </w:t>
      </w:r>
      <w:hyperlink r:id="rId35" w:tgtFrame="_blank" w:history="1">
        <w:r w:rsidRPr="0015138A">
          <w:rPr>
            <w:rStyle w:val="Hyperlink"/>
            <w:rFonts w:asciiTheme="minorHAnsi" w:hAnsiTheme="minorHAnsi" w:cstheme="minorHAnsi"/>
          </w:rPr>
          <w:t>http://www.foodstandards.gov.au/_srcfiles/GM%20Peer%20Review%20Report.pdf</w:t>
        </w:r>
      </w:hyperlink>
    </w:p>
    <w:p w:rsidR="009E0D63" w:rsidRPr="00D432C4" w:rsidRDefault="009E0D63" w:rsidP="00EB419A">
      <w:pPr>
        <w:spacing w:after="120" w:line="240" w:lineRule="auto"/>
        <w:rPr>
          <w:rFonts w:asciiTheme="minorHAnsi" w:hAnsiTheme="minorHAnsi" w:cstheme="minorHAnsi"/>
          <w:lang w:val="en"/>
        </w:rPr>
      </w:pPr>
      <w:r w:rsidRPr="0015138A">
        <w:rPr>
          <w:rFonts w:asciiTheme="minorHAnsi" w:hAnsiTheme="minorHAnsi" w:cstheme="minorHAnsi"/>
          <w:lang w:val="en"/>
        </w:rPr>
        <w:t>Proposal P1007-Primary Production &amp; Processing Req</w:t>
      </w:r>
      <w:r w:rsidR="00D432C4">
        <w:rPr>
          <w:rFonts w:asciiTheme="minorHAnsi" w:hAnsiTheme="minorHAnsi" w:cstheme="minorHAnsi"/>
          <w:lang w:val="en"/>
        </w:rPr>
        <w:t xml:space="preserve">uirements </w:t>
      </w:r>
      <w:proofErr w:type="gramStart"/>
      <w:r w:rsidR="00D432C4">
        <w:rPr>
          <w:rFonts w:asciiTheme="minorHAnsi" w:hAnsiTheme="minorHAnsi" w:cstheme="minorHAnsi"/>
          <w:lang w:val="en"/>
        </w:rPr>
        <w:t>For</w:t>
      </w:r>
      <w:proofErr w:type="gramEnd"/>
      <w:r w:rsidR="00D432C4">
        <w:rPr>
          <w:rFonts w:asciiTheme="minorHAnsi" w:hAnsiTheme="minorHAnsi" w:cstheme="minorHAnsi"/>
          <w:lang w:val="en"/>
        </w:rPr>
        <w:t xml:space="preserve"> Raw Milk Products</w:t>
      </w:r>
      <w:hyperlink r:id="rId36" w:history="1">
        <w:r w:rsidRPr="0015138A">
          <w:rPr>
            <w:rStyle w:val="Hyperlink"/>
            <w:rFonts w:asciiTheme="minorHAnsi" w:hAnsiTheme="minorHAnsi" w:cstheme="minorHAnsi"/>
          </w:rPr>
          <w:t>http://www.foodstandards.gov.au/foodstandards/proposals/proposalp1007primary3953.cfm</w:t>
        </w:r>
      </w:hyperlink>
    </w:p>
    <w:p w:rsidR="00C815B8" w:rsidRPr="0015138A" w:rsidRDefault="00C815B8" w:rsidP="00EB419A">
      <w:pPr>
        <w:spacing w:after="120" w:line="240" w:lineRule="auto"/>
        <w:rPr>
          <w:rFonts w:asciiTheme="minorHAnsi" w:hAnsiTheme="minorHAnsi" w:cstheme="minorHAnsi"/>
        </w:rPr>
      </w:pPr>
      <w:r w:rsidRPr="0015138A">
        <w:rPr>
          <w:rFonts w:asciiTheme="minorHAnsi" w:hAnsiTheme="minorHAnsi" w:cstheme="minorHAnsi"/>
        </w:rPr>
        <w:t xml:space="preserve">Science Strategy 2010-2015 </w:t>
      </w:r>
      <w:hyperlink r:id="rId37" w:tgtFrame="_blank" w:history="1">
        <w:r w:rsidRPr="0015138A">
          <w:rPr>
            <w:rStyle w:val="Hyperlink"/>
            <w:rFonts w:asciiTheme="minorHAnsi" w:hAnsiTheme="minorHAnsi" w:cstheme="minorHAnsi"/>
          </w:rPr>
          <w:t>http://www.foodstandards.gov.au/_srcfiles/web_Science_Strat_final.pdf</w:t>
        </w:r>
      </w:hyperlink>
    </w:p>
    <w:p w:rsidR="00D52BD2" w:rsidRPr="0015138A" w:rsidRDefault="00D52BD2" w:rsidP="00EB419A">
      <w:pPr>
        <w:spacing w:after="120" w:line="240" w:lineRule="auto"/>
        <w:rPr>
          <w:rFonts w:asciiTheme="minorHAnsi" w:hAnsiTheme="minorHAnsi" w:cstheme="minorHAnsi"/>
        </w:rPr>
      </w:pPr>
      <w:r w:rsidRPr="0015138A">
        <w:rPr>
          <w:rFonts w:asciiTheme="minorHAnsi" w:hAnsiTheme="minorHAnsi" w:cstheme="minorHAnsi"/>
        </w:rPr>
        <w:t>Survey of nitrates and nitrites in food and beverages in Australia</w:t>
      </w:r>
      <w:r w:rsidR="00D432C4">
        <w:rPr>
          <w:rFonts w:asciiTheme="minorHAnsi" w:hAnsiTheme="minorHAnsi" w:cstheme="minorHAnsi"/>
        </w:rPr>
        <w:t xml:space="preserve"> </w:t>
      </w:r>
      <w:hyperlink r:id="rId38" w:history="1">
        <w:r w:rsidRPr="0015138A">
          <w:rPr>
            <w:rStyle w:val="Hyperlink"/>
            <w:rFonts w:asciiTheme="minorHAnsi" w:hAnsiTheme="minorHAnsi" w:cstheme="minorHAnsi"/>
          </w:rPr>
          <w:t>http://www.foodstandards.gov.au/scienceandeducation/monitoringandsurveillance/foodsurveillance/surveyofnitratesandn5368.cfm</w:t>
        </w:r>
      </w:hyperlink>
    </w:p>
    <w:p w:rsidR="009E0D63" w:rsidRDefault="009E0D63" w:rsidP="003B2DBB">
      <w:pPr>
        <w:spacing w:after="0"/>
        <w:ind w:firstLine="284"/>
      </w:pPr>
    </w:p>
    <w:p w:rsidR="009E0D63" w:rsidRDefault="009E0D63" w:rsidP="003B2DBB">
      <w:pPr>
        <w:spacing w:after="0"/>
        <w:ind w:firstLine="284"/>
      </w:pPr>
    </w:p>
    <w:p w:rsidR="009E0D63" w:rsidRDefault="009E0D63" w:rsidP="003B2DBB">
      <w:pPr>
        <w:spacing w:after="0"/>
        <w:ind w:firstLine="284"/>
      </w:pPr>
    </w:p>
    <w:p w:rsidR="00356B88" w:rsidRPr="009B4C49" w:rsidRDefault="00356B88" w:rsidP="003B2DBB">
      <w:pPr>
        <w:spacing w:after="0"/>
        <w:ind w:firstLine="284"/>
      </w:pPr>
    </w:p>
    <w:sectPr w:rsidR="00356B88" w:rsidRPr="009B4C49" w:rsidSect="00D432C4">
      <w:headerReference w:type="default" r:id="rId39"/>
      <w:footerReference w:type="default" r:id="rId40"/>
      <w:pgSz w:w="11906" w:h="16838"/>
      <w:pgMar w:top="1440" w:right="1274"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9A" w:rsidRDefault="0019259A" w:rsidP="00644BB9">
      <w:pPr>
        <w:spacing w:after="0" w:line="240" w:lineRule="auto"/>
      </w:pPr>
      <w:r>
        <w:separator/>
      </w:r>
    </w:p>
  </w:endnote>
  <w:endnote w:type="continuationSeparator" w:id="0">
    <w:p w:rsidR="0019259A" w:rsidRDefault="0019259A" w:rsidP="0064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75"/>
      <w:gridCol w:w="8433"/>
    </w:tblGrid>
    <w:tr w:rsidR="0019259A" w:rsidTr="00B41CCC">
      <w:tc>
        <w:tcPr>
          <w:tcW w:w="918" w:type="dxa"/>
        </w:tcPr>
        <w:p w:rsidR="0019259A" w:rsidRPr="00B41CCC" w:rsidRDefault="0019259A">
          <w:pPr>
            <w:pStyle w:val="Footer"/>
            <w:jc w:val="right"/>
            <w:rPr>
              <w:b/>
              <w:bCs/>
              <w:color w:val="4F81BD"/>
              <w:sz w:val="28"/>
              <w:szCs w:val="28"/>
            </w:rPr>
          </w:pPr>
          <w:r w:rsidRPr="00B41CCC">
            <w:rPr>
              <w:sz w:val="28"/>
              <w:szCs w:val="28"/>
            </w:rPr>
            <w:fldChar w:fldCharType="begin"/>
          </w:r>
          <w:r w:rsidRPr="00B41CCC">
            <w:rPr>
              <w:sz w:val="28"/>
              <w:szCs w:val="28"/>
            </w:rPr>
            <w:instrText xml:space="preserve"> PAGE   \* MERGEFORMAT </w:instrText>
          </w:r>
          <w:r w:rsidRPr="00B41CCC">
            <w:rPr>
              <w:sz w:val="28"/>
              <w:szCs w:val="28"/>
            </w:rPr>
            <w:fldChar w:fldCharType="separate"/>
          </w:r>
          <w:r w:rsidR="00CE1E3C" w:rsidRPr="00CE1E3C">
            <w:rPr>
              <w:b/>
              <w:bCs/>
              <w:noProof/>
              <w:color w:val="4F81BD"/>
              <w:sz w:val="28"/>
              <w:szCs w:val="28"/>
            </w:rPr>
            <w:t>4</w:t>
          </w:r>
          <w:r w:rsidRPr="00B41CCC">
            <w:rPr>
              <w:b/>
              <w:bCs/>
              <w:noProof/>
              <w:color w:val="4F81BD"/>
              <w:sz w:val="28"/>
              <w:szCs w:val="28"/>
            </w:rPr>
            <w:fldChar w:fldCharType="end"/>
          </w:r>
        </w:p>
      </w:tc>
      <w:tc>
        <w:tcPr>
          <w:tcW w:w="7938" w:type="dxa"/>
        </w:tcPr>
        <w:p w:rsidR="0019259A" w:rsidRDefault="0019259A">
          <w:pPr>
            <w:pStyle w:val="Footer"/>
          </w:pPr>
        </w:p>
      </w:tc>
    </w:tr>
  </w:tbl>
  <w:p w:rsidR="0019259A" w:rsidRDefault="0019259A" w:rsidP="009B4C4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9A" w:rsidRDefault="0019259A" w:rsidP="00644BB9">
      <w:pPr>
        <w:spacing w:after="0" w:line="240" w:lineRule="auto"/>
      </w:pPr>
      <w:r>
        <w:separator/>
      </w:r>
    </w:p>
  </w:footnote>
  <w:footnote w:type="continuationSeparator" w:id="0">
    <w:p w:rsidR="0019259A" w:rsidRDefault="0019259A" w:rsidP="00644BB9">
      <w:pPr>
        <w:spacing w:after="0" w:line="240" w:lineRule="auto"/>
      </w:pPr>
      <w:r>
        <w:continuationSeparator/>
      </w:r>
    </w:p>
  </w:footnote>
  <w:footnote w:id="1">
    <w:p w:rsidR="0019259A" w:rsidRPr="00201CE8" w:rsidRDefault="0019259A">
      <w:pPr>
        <w:pStyle w:val="FootnoteText"/>
        <w:rPr>
          <w:sz w:val="16"/>
          <w:szCs w:val="16"/>
          <w:lang w:val="fr-CH"/>
        </w:rPr>
      </w:pPr>
      <w:r w:rsidRPr="00CF65D2">
        <w:rPr>
          <w:rStyle w:val="FootnoteReference"/>
          <w:sz w:val="16"/>
          <w:szCs w:val="16"/>
        </w:rPr>
        <w:footnoteRef/>
      </w:r>
      <w:r w:rsidRPr="00CF65D2">
        <w:rPr>
          <w:sz w:val="16"/>
          <w:szCs w:val="16"/>
        </w:rPr>
        <w:t xml:space="preserve"> </w:t>
      </w:r>
      <w:proofErr w:type="gramStart"/>
      <w:r w:rsidRPr="00CF65D2">
        <w:rPr>
          <w:sz w:val="16"/>
          <w:szCs w:val="16"/>
        </w:rPr>
        <w:t>The significance of a transient excursion of dietary exposure of a food chemical above a reference health standard.</w:t>
      </w:r>
      <w:proofErr w:type="gramEnd"/>
      <w:r w:rsidRPr="00CF65D2">
        <w:rPr>
          <w:sz w:val="16"/>
          <w:szCs w:val="16"/>
        </w:rPr>
        <w:t xml:space="preserve"> Internal FSANZ document</w:t>
      </w:r>
      <w:r>
        <w:rPr>
          <w:sz w:val="16"/>
          <w:szCs w:val="16"/>
        </w:rPr>
        <w:t xml:space="preserve"> (2012). </w:t>
      </w:r>
      <w:r w:rsidRPr="00CF65D2">
        <w:rPr>
          <w:sz w:val="16"/>
          <w:szCs w:val="16"/>
        </w:rPr>
        <w:t xml:space="preserve">Draft principles for assessing, managing and communicating the significance of small or transient exceedances of reference health standards. </w:t>
      </w:r>
      <w:proofErr w:type="spellStart"/>
      <w:r w:rsidRPr="00CF65D2">
        <w:rPr>
          <w:sz w:val="16"/>
          <w:szCs w:val="16"/>
          <w:lang w:val="fr-CH"/>
        </w:rPr>
        <w:t>Internal</w:t>
      </w:r>
      <w:proofErr w:type="spellEnd"/>
      <w:r w:rsidRPr="00CF65D2">
        <w:rPr>
          <w:sz w:val="16"/>
          <w:szCs w:val="16"/>
          <w:lang w:val="fr-CH"/>
        </w:rPr>
        <w:t xml:space="preserve"> FSANZ document</w:t>
      </w:r>
      <w:r>
        <w:rPr>
          <w:sz w:val="16"/>
          <w:szCs w:val="16"/>
          <w:lang w:val="fr-CH"/>
        </w:rPr>
        <w:t xml:space="preserve"> (2012)</w:t>
      </w:r>
      <w:r w:rsidRPr="00CF65D2">
        <w:rPr>
          <w:sz w:val="16"/>
          <w:szCs w:val="16"/>
          <w:lang w:val="fr-CH"/>
        </w:rPr>
        <w:t xml:space="preserve">. </w:t>
      </w:r>
    </w:p>
  </w:footnote>
  <w:footnote w:id="2">
    <w:p w:rsidR="0019259A" w:rsidRPr="00CF65D2" w:rsidRDefault="0019259A">
      <w:pPr>
        <w:pStyle w:val="FootnoteText"/>
        <w:rPr>
          <w:lang w:val="fr-CH"/>
        </w:rPr>
      </w:pPr>
      <w:r w:rsidRPr="00CF65D2">
        <w:rPr>
          <w:rStyle w:val="FootnoteReference"/>
          <w:sz w:val="16"/>
          <w:szCs w:val="16"/>
        </w:rPr>
        <w:footnoteRef/>
      </w:r>
      <w:r w:rsidRPr="00CF65D2">
        <w:rPr>
          <w:sz w:val="16"/>
          <w:szCs w:val="16"/>
          <w:lang w:val="fr-CH"/>
        </w:rPr>
        <w:t>http://www.foodstandards.gov.au/_srcfiles/A1024%20Plant%20Stanols%20AppR%20SD1%20Risk%20Assess.pdf</w:t>
      </w:r>
    </w:p>
  </w:footnote>
  <w:footnote w:id="3">
    <w:p w:rsidR="0019259A" w:rsidRDefault="0019259A" w:rsidP="00964751">
      <w:pPr>
        <w:pStyle w:val="CommentText"/>
      </w:pPr>
      <w:r>
        <w:rPr>
          <w:rStyle w:val="FootnoteReference"/>
        </w:rPr>
        <w:footnoteRef/>
      </w:r>
      <w:r>
        <w:t xml:space="preserve"> now called Ministry for Primary Industries</w:t>
      </w:r>
    </w:p>
    <w:p w:rsidR="0019259A" w:rsidRPr="00964751" w:rsidRDefault="0019259A">
      <w:pPr>
        <w:pStyle w:val="FootnoteText"/>
      </w:pPr>
    </w:p>
  </w:footnote>
  <w:footnote w:id="4">
    <w:p w:rsidR="0019259A" w:rsidRPr="00066667" w:rsidRDefault="0019259A">
      <w:pPr>
        <w:pStyle w:val="FootnoteText"/>
        <w:rPr>
          <w:lang w:val="en-US"/>
        </w:rPr>
      </w:pPr>
      <w:r>
        <w:rPr>
          <w:rStyle w:val="FootnoteReference"/>
        </w:rPr>
        <w:footnoteRef/>
      </w:r>
      <w:r>
        <w:t xml:space="preserve"> </w:t>
      </w:r>
      <w:r w:rsidRPr="00066667">
        <w:t>http://www.afgc.org.au/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9A" w:rsidRDefault="0019259A" w:rsidP="00461964">
    <w:pPr>
      <w:pStyle w:val="Header"/>
      <w:pBdr>
        <w:bottom w:val="thickThinSmallGap" w:sz="24" w:space="1" w:color="622423"/>
      </w:pBdr>
      <w:jc w:val="center"/>
      <w:rPr>
        <w:rFonts w:ascii="Cambria" w:hAnsi="Cambria" w:cs="Times New Roman"/>
        <w:sz w:val="28"/>
        <w:szCs w:val="28"/>
        <w:lang w:val="en-GB"/>
      </w:rPr>
    </w:pPr>
    <w:r w:rsidRPr="00B41CCC">
      <w:rPr>
        <w:rFonts w:ascii="Cambria" w:hAnsi="Cambria" w:cs="Times New Roman"/>
        <w:sz w:val="28"/>
        <w:szCs w:val="28"/>
        <w:lang w:val="en-GB"/>
      </w:rPr>
      <w:t xml:space="preserve">EXTERNAL PEER REVIEW OF FSANZ RISK ASSESSMENT </w:t>
    </w:r>
  </w:p>
  <w:p w:rsidR="0019259A" w:rsidRPr="00B41CCC" w:rsidRDefault="0019259A" w:rsidP="00461964">
    <w:pPr>
      <w:pStyle w:val="Header"/>
      <w:pBdr>
        <w:bottom w:val="thickThinSmallGap" w:sz="24" w:space="1" w:color="622423"/>
      </w:pBdr>
      <w:jc w:val="center"/>
      <w:rPr>
        <w:rFonts w:ascii="Cambria" w:hAnsi="Cambria" w:cs="Times New Roman"/>
        <w:sz w:val="28"/>
        <w:szCs w:val="28"/>
      </w:rPr>
    </w:pPr>
    <w:r w:rsidRPr="00B41CCC">
      <w:rPr>
        <w:rFonts w:ascii="Cambria" w:hAnsi="Cambria" w:cs="Times New Roman"/>
        <w:sz w:val="28"/>
        <w:szCs w:val="28"/>
        <w:lang w:val="en-GB"/>
      </w:rPr>
      <w:t>PRACTICES AND PROCEDURES</w:t>
    </w:r>
  </w:p>
  <w:p w:rsidR="0019259A" w:rsidRDefault="00192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E87"/>
    <w:multiLevelType w:val="hybridMultilevel"/>
    <w:tmpl w:val="9AA40158"/>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115FA"/>
    <w:multiLevelType w:val="hybridMultilevel"/>
    <w:tmpl w:val="EB327BAA"/>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4310329"/>
    <w:multiLevelType w:val="hybridMultilevel"/>
    <w:tmpl w:val="D9C297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F70B4A"/>
    <w:multiLevelType w:val="hybridMultilevel"/>
    <w:tmpl w:val="81E21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B04C5"/>
    <w:multiLevelType w:val="hybridMultilevel"/>
    <w:tmpl w:val="34AE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171F7"/>
    <w:multiLevelType w:val="hybridMultilevel"/>
    <w:tmpl w:val="BDA639A8"/>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B0511"/>
    <w:multiLevelType w:val="hybridMultilevel"/>
    <w:tmpl w:val="3FCA7BF2"/>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12E33354"/>
    <w:multiLevelType w:val="hybridMultilevel"/>
    <w:tmpl w:val="BCF45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1F6801"/>
    <w:multiLevelType w:val="hybridMultilevel"/>
    <w:tmpl w:val="92600E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436A33"/>
    <w:multiLevelType w:val="multilevel"/>
    <w:tmpl w:val="E042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205AE"/>
    <w:multiLevelType w:val="hybridMultilevel"/>
    <w:tmpl w:val="484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B7840"/>
    <w:multiLevelType w:val="hybridMultilevel"/>
    <w:tmpl w:val="E7D8D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064CE"/>
    <w:multiLevelType w:val="hybridMultilevel"/>
    <w:tmpl w:val="F43E9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3D3782"/>
    <w:multiLevelType w:val="hybridMultilevel"/>
    <w:tmpl w:val="5A9C84C6"/>
    <w:lvl w:ilvl="0" w:tplc="0DBE6F9C">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7364C"/>
    <w:multiLevelType w:val="hybridMultilevel"/>
    <w:tmpl w:val="C8DE8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103DB"/>
    <w:multiLevelType w:val="hybridMultilevel"/>
    <w:tmpl w:val="43B4A24E"/>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5C6603"/>
    <w:multiLevelType w:val="hybridMultilevel"/>
    <w:tmpl w:val="9F5C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801BA"/>
    <w:multiLevelType w:val="hybridMultilevel"/>
    <w:tmpl w:val="51129984"/>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336C6616"/>
    <w:multiLevelType w:val="hybridMultilevel"/>
    <w:tmpl w:val="0AF0EEB8"/>
    <w:lvl w:ilvl="0" w:tplc="448AD000">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0D7F93"/>
    <w:multiLevelType w:val="hybridMultilevel"/>
    <w:tmpl w:val="1D04A2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D455F6"/>
    <w:multiLevelType w:val="hybridMultilevel"/>
    <w:tmpl w:val="417A7BBE"/>
    <w:lvl w:ilvl="0" w:tplc="94C0080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BA67C9F"/>
    <w:multiLevelType w:val="hybridMultilevel"/>
    <w:tmpl w:val="5010EB24"/>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4A3587"/>
    <w:multiLevelType w:val="hybridMultilevel"/>
    <w:tmpl w:val="8B06F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0E2A42"/>
    <w:multiLevelType w:val="hybridMultilevel"/>
    <w:tmpl w:val="9314E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FA2204"/>
    <w:multiLevelType w:val="hybridMultilevel"/>
    <w:tmpl w:val="4A64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84E71"/>
    <w:multiLevelType w:val="hybridMultilevel"/>
    <w:tmpl w:val="E580105A"/>
    <w:lvl w:ilvl="0" w:tplc="FD263932">
      <w:numFmt w:val="bullet"/>
      <w:lvlText w:val="-"/>
      <w:lvlJc w:val="left"/>
      <w:pPr>
        <w:ind w:left="3276" w:hanging="360"/>
      </w:pPr>
      <w:rPr>
        <w:rFonts w:ascii="Calibri" w:eastAsia="Times New Roman" w:hAnsi="Calibri" w:hint="default"/>
      </w:rPr>
    </w:lvl>
    <w:lvl w:ilvl="1" w:tplc="F53A4D8E">
      <w:numFmt w:val="bullet"/>
      <w:lvlText w:val="•"/>
      <w:lvlJc w:val="left"/>
      <w:pPr>
        <w:ind w:left="4356" w:hanging="720"/>
      </w:pPr>
      <w:rPr>
        <w:rFonts w:ascii="Calibri" w:eastAsia="SimSun" w:hAnsi="Calibri" w:cs="Calibri" w:hint="default"/>
      </w:rPr>
    </w:lvl>
    <w:lvl w:ilvl="2" w:tplc="0C090005" w:tentative="1">
      <w:start w:val="1"/>
      <w:numFmt w:val="bullet"/>
      <w:lvlText w:val=""/>
      <w:lvlJc w:val="left"/>
      <w:pPr>
        <w:ind w:left="4716" w:hanging="360"/>
      </w:pPr>
      <w:rPr>
        <w:rFonts w:ascii="Wingdings" w:hAnsi="Wingdings" w:hint="default"/>
      </w:rPr>
    </w:lvl>
    <w:lvl w:ilvl="3" w:tplc="0C090001" w:tentative="1">
      <w:start w:val="1"/>
      <w:numFmt w:val="bullet"/>
      <w:lvlText w:val=""/>
      <w:lvlJc w:val="left"/>
      <w:pPr>
        <w:ind w:left="5436" w:hanging="360"/>
      </w:pPr>
      <w:rPr>
        <w:rFonts w:ascii="Symbol" w:hAnsi="Symbol" w:hint="default"/>
      </w:rPr>
    </w:lvl>
    <w:lvl w:ilvl="4" w:tplc="0C090003" w:tentative="1">
      <w:start w:val="1"/>
      <w:numFmt w:val="bullet"/>
      <w:lvlText w:val="o"/>
      <w:lvlJc w:val="left"/>
      <w:pPr>
        <w:ind w:left="6156" w:hanging="360"/>
      </w:pPr>
      <w:rPr>
        <w:rFonts w:ascii="Courier New" w:hAnsi="Courier New" w:hint="default"/>
      </w:rPr>
    </w:lvl>
    <w:lvl w:ilvl="5" w:tplc="0C090005" w:tentative="1">
      <w:start w:val="1"/>
      <w:numFmt w:val="bullet"/>
      <w:lvlText w:val=""/>
      <w:lvlJc w:val="left"/>
      <w:pPr>
        <w:ind w:left="6876" w:hanging="360"/>
      </w:pPr>
      <w:rPr>
        <w:rFonts w:ascii="Wingdings" w:hAnsi="Wingdings" w:hint="default"/>
      </w:rPr>
    </w:lvl>
    <w:lvl w:ilvl="6" w:tplc="0C090001" w:tentative="1">
      <w:start w:val="1"/>
      <w:numFmt w:val="bullet"/>
      <w:lvlText w:val=""/>
      <w:lvlJc w:val="left"/>
      <w:pPr>
        <w:ind w:left="7596" w:hanging="360"/>
      </w:pPr>
      <w:rPr>
        <w:rFonts w:ascii="Symbol" w:hAnsi="Symbol" w:hint="default"/>
      </w:rPr>
    </w:lvl>
    <w:lvl w:ilvl="7" w:tplc="0C090003" w:tentative="1">
      <w:start w:val="1"/>
      <w:numFmt w:val="bullet"/>
      <w:lvlText w:val="o"/>
      <w:lvlJc w:val="left"/>
      <w:pPr>
        <w:ind w:left="8316" w:hanging="360"/>
      </w:pPr>
      <w:rPr>
        <w:rFonts w:ascii="Courier New" w:hAnsi="Courier New" w:hint="default"/>
      </w:rPr>
    </w:lvl>
    <w:lvl w:ilvl="8" w:tplc="0C090005" w:tentative="1">
      <w:start w:val="1"/>
      <w:numFmt w:val="bullet"/>
      <w:lvlText w:val=""/>
      <w:lvlJc w:val="left"/>
      <w:pPr>
        <w:ind w:left="9036" w:hanging="360"/>
      </w:pPr>
      <w:rPr>
        <w:rFonts w:ascii="Wingdings" w:hAnsi="Wingdings" w:hint="default"/>
      </w:rPr>
    </w:lvl>
  </w:abstractNum>
  <w:abstractNum w:abstractNumId="26">
    <w:nsid w:val="48CF657D"/>
    <w:multiLevelType w:val="hybridMultilevel"/>
    <w:tmpl w:val="39B8A33E"/>
    <w:lvl w:ilvl="0" w:tplc="94C00808">
      <w:start w:val="1"/>
      <w:numFmt w:val="decimal"/>
      <w:lvlText w:val="%1."/>
      <w:lvlJc w:val="left"/>
      <w:pPr>
        <w:ind w:left="720" w:hanging="360"/>
      </w:pPr>
      <w:rPr>
        <w:rFonts w:cs="Times New Roman"/>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497D71AA"/>
    <w:multiLevelType w:val="hybridMultilevel"/>
    <w:tmpl w:val="99CEFF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F640DC"/>
    <w:multiLevelType w:val="hybridMultilevel"/>
    <w:tmpl w:val="F40E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E56EA8"/>
    <w:multiLevelType w:val="hybridMultilevel"/>
    <w:tmpl w:val="F1AAA87A"/>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3F6E5A"/>
    <w:multiLevelType w:val="hybridMultilevel"/>
    <w:tmpl w:val="F61078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50F4586E"/>
    <w:multiLevelType w:val="hybridMultilevel"/>
    <w:tmpl w:val="3078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BD5FE5"/>
    <w:multiLevelType w:val="hybridMultilevel"/>
    <w:tmpl w:val="E5F45166"/>
    <w:lvl w:ilvl="0" w:tplc="0548F01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2D2A36"/>
    <w:multiLevelType w:val="hybridMultilevel"/>
    <w:tmpl w:val="06D6853E"/>
    <w:lvl w:ilvl="0" w:tplc="0DBE6F9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EA1DEC"/>
    <w:multiLevelType w:val="hybridMultilevel"/>
    <w:tmpl w:val="1592FE90"/>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B27027"/>
    <w:multiLevelType w:val="hybridMultilevel"/>
    <w:tmpl w:val="CF0484DA"/>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BE074E"/>
    <w:multiLevelType w:val="hybridMultilevel"/>
    <w:tmpl w:val="BE401F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9A5C48"/>
    <w:multiLevelType w:val="hybridMultilevel"/>
    <w:tmpl w:val="10D633A0"/>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C445CD"/>
    <w:multiLevelType w:val="hybridMultilevel"/>
    <w:tmpl w:val="2F52A6D0"/>
    <w:lvl w:ilvl="0" w:tplc="0DBE6F9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C661037"/>
    <w:multiLevelType w:val="hybridMultilevel"/>
    <w:tmpl w:val="6E2AD3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6A05D09"/>
    <w:multiLevelType w:val="hybridMultilevel"/>
    <w:tmpl w:val="F644129C"/>
    <w:lvl w:ilvl="0" w:tplc="04090001">
      <w:start w:val="1"/>
      <w:numFmt w:val="bullet"/>
      <w:lvlText w:val=""/>
      <w:lvlJc w:val="left"/>
      <w:pPr>
        <w:ind w:left="720" w:hanging="360"/>
      </w:pPr>
      <w:rPr>
        <w:rFonts w:ascii="Symbol" w:hAnsi="Symbol" w:hint="default"/>
      </w:rPr>
    </w:lvl>
    <w:lvl w:ilvl="1" w:tplc="F53A4D8E">
      <w:numFmt w:val="bullet"/>
      <w:lvlText w:val="•"/>
      <w:lvlJc w:val="left"/>
      <w:pPr>
        <w:ind w:left="1800" w:hanging="720"/>
      </w:pPr>
      <w:rPr>
        <w:rFonts w:ascii="Calibri" w:eastAsia="SimSu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1F43E8"/>
    <w:multiLevelType w:val="hybridMultilevel"/>
    <w:tmpl w:val="D27201F6"/>
    <w:lvl w:ilvl="0" w:tplc="448AD000">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3ED2995"/>
    <w:multiLevelType w:val="hybridMultilevel"/>
    <w:tmpl w:val="CDE462F8"/>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495993"/>
    <w:multiLevelType w:val="multilevel"/>
    <w:tmpl w:val="43965A7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331FB0"/>
    <w:multiLevelType w:val="hybridMultilevel"/>
    <w:tmpl w:val="AEFA306E"/>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994167"/>
    <w:multiLevelType w:val="hybridMultilevel"/>
    <w:tmpl w:val="ADCAA8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9D64B6"/>
    <w:multiLevelType w:val="hybridMultilevel"/>
    <w:tmpl w:val="D566487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D963BC"/>
    <w:multiLevelType w:val="hybridMultilevel"/>
    <w:tmpl w:val="BBA2B23E"/>
    <w:lvl w:ilvl="0" w:tplc="0DBE6F9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D212EAF"/>
    <w:multiLevelType w:val="hybridMultilevel"/>
    <w:tmpl w:val="46C8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5"/>
  </w:num>
  <w:num w:numId="4">
    <w:abstractNumId w:val="17"/>
  </w:num>
  <w:num w:numId="5">
    <w:abstractNumId w:val="26"/>
  </w:num>
  <w:num w:numId="6">
    <w:abstractNumId w:val="43"/>
  </w:num>
  <w:num w:numId="7">
    <w:abstractNumId w:val="46"/>
  </w:num>
  <w:num w:numId="8">
    <w:abstractNumId w:val="18"/>
  </w:num>
  <w:num w:numId="9">
    <w:abstractNumId w:val="41"/>
  </w:num>
  <w:num w:numId="10">
    <w:abstractNumId w:val="23"/>
  </w:num>
  <w:num w:numId="11">
    <w:abstractNumId w:val="30"/>
  </w:num>
  <w:num w:numId="12">
    <w:abstractNumId w:val="10"/>
  </w:num>
  <w:num w:numId="13">
    <w:abstractNumId w:val="16"/>
  </w:num>
  <w:num w:numId="14">
    <w:abstractNumId w:val="24"/>
  </w:num>
  <w:num w:numId="15">
    <w:abstractNumId w:val="14"/>
  </w:num>
  <w:num w:numId="16">
    <w:abstractNumId w:val="12"/>
  </w:num>
  <w:num w:numId="17">
    <w:abstractNumId w:val="48"/>
  </w:num>
  <w:num w:numId="18">
    <w:abstractNumId w:val="28"/>
  </w:num>
  <w:num w:numId="19">
    <w:abstractNumId w:val="4"/>
  </w:num>
  <w:num w:numId="20">
    <w:abstractNumId w:val="31"/>
  </w:num>
  <w:num w:numId="21">
    <w:abstractNumId w:val="3"/>
  </w:num>
  <w:num w:numId="22">
    <w:abstractNumId w:val="40"/>
  </w:num>
  <w:num w:numId="23">
    <w:abstractNumId w:val="36"/>
  </w:num>
  <w:num w:numId="24">
    <w:abstractNumId w:val="11"/>
  </w:num>
  <w:num w:numId="25">
    <w:abstractNumId w:val="8"/>
  </w:num>
  <w:num w:numId="26">
    <w:abstractNumId w:val="2"/>
  </w:num>
  <w:num w:numId="27">
    <w:abstractNumId w:val="0"/>
  </w:num>
  <w:num w:numId="28">
    <w:abstractNumId w:val="1"/>
  </w:num>
  <w:num w:numId="29">
    <w:abstractNumId w:val="20"/>
  </w:num>
  <w:num w:numId="30">
    <w:abstractNumId w:val="33"/>
  </w:num>
  <w:num w:numId="31">
    <w:abstractNumId w:val="19"/>
  </w:num>
  <w:num w:numId="32">
    <w:abstractNumId w:val="47"/>
  </w:num>
  <w:num w:numId="33">
    <w:abstractNumId w:val="38"/>
  </w:num>
  <w:num w:numId="34">
    <w:abstractNumId w:val="13"/>
  </w:num>
  <w:num w:numId="35">
    <w:abstractNumId w:val="32"/>
  </w:num>
  <w:num w:numId="36">
    <w:abstractNumId w:val="6"/>
  </w:num>
  <w:num w:numId="37">
    <w:abstractNumId w:val="9"/>
  </w:num>
  <w:num w:numId="38">
    <w:abstractNumId w:val="45"/>
  </w:num>
  <w:num w:numId="39">
    <w:abstractNumId w:val="27"/>
  </w:num>
  <w:num w:numId="40">
    <w:abstractNumId w:val="39"/>
  </w:num>
  <w:num w:numId="41">
    <w:abstractNumId w:val="21"/>
  </w:num>
  <w:num w:numId="42">
    <w:abstractNumId w:val="42"/>
  </w:num>
  <w:num w:numId="43">
    <w:abstractNumId w:val="29"/>
  </w:num>
  <w:num w:numId="44">
    <w:abstractNumId w:val="5"/>
  </w:num>
  <w:num w:numId="45">
    <w:abstractNumId w:val="37"/>
  </w:num>
  <w:num w:numId="46">
    <w:abstractNumId w:val="15"/>
  </w:num>
  <w:num w:numId="47">
    <w:abstractNumId w:val="35"/>
  </w:num>
  <w:num w:numId="48">
    <w:abstractNumId w:val="34"/>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F7"/>
    <w:rsid w:val="00001557"/>
    <w:rsid w:val="00002757"/>
    <w:rsid w:val="000135E8"/>
    <w:rsid w:val="000142CC"/>
    <w:rsid w:val="00014A58"/>
    <w:rsid w:val="000205A2"/>
    <w:rsid w:val="00023508"/>
    <w:rsid w:val="00024A3D"/>
    <w:rsid w:val="00027E27"/>
    <w:rsid w:val="0003168B"/>
    <w:rsid w:val="000318F3"/>
    <w:rsid w:val="00031F46"/>
    <w:rsid w:val="0003289F"/>
    <w:rsid w:val="00032C0E"/>
    <w:rsid w:val="00034EFC"/>
    <w:rsid w:val="0003593C"/>
    <w:rsid w:val="00036AB5"/>
    <w:rsid w:val="00037947"/>
    <w:rsid w:val="00037E57"/>
    <w:rsid w:val="00045F46"/>
    <w:rsid w:val="00047A20"/>
    <w:rsid w:val="00051A4E"/>
    <w:rsid w:val="0005311D"/>
    <w:rsid w:val="0005564A"/>
    <w:rsid w:val="0005702B"/>
    <w:rsid w:val="0006074B"/>
    <w:rsid w:val="00060B1F"/>
    <w:rsid w:val="00061303"/>
    <w:rsid w:val="00064512"/>
    <w:rsid w:val="00066667"/>
    <w:rsid w:val="000737ED"/>
    <w:rsid w:val="0007464F"/>
    <w:rsid w:val="00074A5D"/>
    <w:rsid w:val="0007684D"/>
    <w:rsid w:val="00077763"/>
    <w:rsid w:val="00081375"/>
    <w:rsid w:val="00082C92"/>
    <w:rsid w:val="00085CCF"/>
    <w:rsid w:val="00085D53"/>
    <w:rsid w:val="00090B90"/>
    <w:rsid w:val="00090C13"/>
    <w:rsid w:val="00091DD7"/>
    <w:rsid w:val="00094D90"/>
    <w:rsid w:val="00096043"/>
    <w:rsid w:val="000A15A6"/>
    <w:rsid w:val="000A5645"/>
    <w:rsid w:val="000A7E6B"/>
    <w:rsid w:val="000B0AA6"/>
    <w:rsid w:val="000B0EC9"/>
    <w:rsid w:val="000B2585"/>
    <w:rsid w:val="000B2AA9"/>
    <w:rsid w:val="000B7211"/>
    <w:rsid w:val="000C1F11"/>
    <w:rsid w:val="000C2471"/>
    <w:rsid w:val="000C31E7"/>
    <w:rsid w:val="000C3A88"/>
    <w:rsid w:val="000C435D"/>
    <w:rsid w:val="000C52E0"/>
    <w:rsid w:val="000C71E8"/>
    <w:rsid w:val="000D2C1B"/>
    <w:rsid w:val="000D3F9A"/>
    <w:rsid w:val="000E03E4"/>
    <w:rsid w:val="000E0533"/>
    <w:rsid w:val="000E15AC"/>
    <w:rsid w:val="000E1764"/>
    <w:rsid w:val="000E261B"/>
    <w:rsid w:val="000E7B95"/>
    <w:rsid w:val="000F468E"/>
    <w:rsid w:val="000F4CBA"/>
    <w:rsid w:val="000F73A5"/>
    <w:rsid w:val="001001C2"/>
    <w:rsid w:val="00102230"/>
    <w:rsid w:val="00104013"/>
    <w:rsid w:val="00105054"/>
    <w:rsid w:val="00105FAA"/>
    <w:rsid w:val="00105FEF"/>
    <w:rsid w:val="001066EE"/>
    <w:rsid w:val="001116A6"/>
    <w:rsid w:val="00114C2D"/>
    <w:rsid w:val="00120CD6"/>
    <w:rsid w:val="00127158"/>
    <w:rsid w:val="0013009E"/>
    <w:rsid w:val="00130B5E"/>
    <w:rsid w:val="0014302F"/>
    <w:rsid w:val="001431C7"/>
    <w:rsid w:val="0014356B"/>
    <w:rsid w:val="00145D07"/>
    <w:rsid w:val="00147653"/>
    <w:rsid w:val="0015138A"/>
    <w:rsid w:val="00156EE7"/>
    <w:rsid w:val="0016116C"/>
    <w:rsid w:val="00164BD3"/>
    <w:rsid w:val="00166837"/>
    <w:rsid w:val="00170F94"/>
    <w:rsid w:val="001737E5"/>
    <w:rsid w:val="00176A3A"/>
    <w:rsid w:val="001800FF"/>
    <w:rsid w:val="00180DF2"/>
    <w:rsid w:val="00186AFB"/>
    <w:rsid w:val="00191F1A"/>
    <w:rsid w:val="0019259A"/>
    <w:rsid w:val="001931E6"/>
    <w:rsid w:val="0019558F"/>
    <w:rsid w:val="001963A6"/>
    <w:rsid w:val="001A0B5D"/>
    <w:rsid w:val="001A31D8"/>
    <w:rsid w:val="001A75AB"/>
    <w:rsid w:val="001B5C82"/>
    <w:rsid w:val="001B5DA8"/>
    <w:rsid w:val="001B6E65"/>
    <w:rsid w:val="001C0BAA"/>
    <w:rsid w:val="001C1F75"/>
    <w:rsid w:val="001C453E"/>
    <w:rsid w:val="001C57F7"/>
    <w:rsid w:val="001C73D0"/>
    <w:rsid w:val="001D0391"/>
    <w:rsid w:val="001D3BBD"/>
    <w:rsid w:val="001E348B"/>
    <w:rsid w:val="001E47C1"/>
    <w:rsid w:val="001E6685"/>
    <w:rsid w:val="001F1ED8"/>
    <w:rsid w:val="001F2EAE"/>
    <w:rsid w:val="00200AD4"/>
    <w:rsid w:val="00201AB3"/>
    <w:rsid w:val="00201CE8"/>
    <w:rsid w:val="00203D60"/>
    <w:rsid w:val="002055B4"/>
    <w:rsid w:val="00206C52"/>
    <w:rsid w:val="002109C0"/>
    <w:rsid w:val="002131F7"/>
    <w:rsid w:val="00217804"/>
    <w:rsid w:val="00217874"/>
    <w:rsid w:val="00220B77"/>
    <w:rsid w:val="00222176"/>
    <w:rsid w:val="0022309D"/>
    <w:rsid w:val="002312F3"/>
    <w:rsid w:val="0023142D"/>
    <w:rsid w:val="0023294E"/>
    <w:rsid w:val="00235BF4"/>
    <w:rsid w:val="00236B67"/>
    <w:rsid w:val="0024565F"/>
    <w:rsid w:val="00250AB9"/>
    <w:rsid w:val="00255DEE"/>
    <w:rsid w:val="00256FBE"/>
    <w:rsid w:val="00262AA4"/>
    <w:rsid w:val="00263583"/>
    <w:rsid w:val="00267354"/>
    <w:rsid w:val="0026737C"/>
    <w:rsid w:val="0027204E"/>
    <w:rsid w:val="00273328"/>
    <w:rsid w:val="00274CCB"/>
    <w:rsid w:val="00275E9C"/>
    <w:rsid w:val="00280996"/>
    <w:rsid w:val="00281D4F"/>
    <w:rsid w:val="0028299C"/>
    <w:rsid w:val="0029210F"/>
    <w:rsid w:val="002955E3"/>
    <w:rsid w:val="002A08B2"/>
    <w:rsid w:val="002A4296"/>
    <w:rsid w:val="002A659C"/>
    <w:rsid w:val="002B122B"/>
    <w:rsid w:val="002C0D8E"/>
    <w:rsid w:val="002C20F2"/>
    <w:rsid w:val="002C30F7"/>
    <w:rsid w:val="002C5C7A"/>
    <w:rsid w:val="002D163E"/>
    <w:rsid w:val="002D5804"/>
    <w:rsid w:val="002D6604"/>
    <w:rsid w:val="002D7217"/>
    <w:rsid w:val="002E0E3E"/>
    <w:rsid w:val="002E1550"/>
    <w:rsid w:val="002E17CE"/>
    <w:rsid w:val="002E2DB6"/>
    <w:rsid w:val="002E3780"/>
    <w:rsid w:val="002E3DEF"/>
    <w:rsid w:val="002E494E"/>
    <w:rsid w:val="002F2A97"/>
    <w:rsid w:val="00300BE3"/>
    <w:rsid w:val="00301611"/>
    <w:rsid w:val="00302E0C"/>
    <w:rsid w:val="003032F9"/>
    <w:rsid w:val="00306F14"/>
    <w:rsid w:val="00307FC8"/>
    <w:rsid w:val="00311739"/>
    <w:rsid w:val="00311B49"/>
    <w:rsid w:val="00311F47"/>
    <w:rsid w:val="00320505"/>
    <w:rsid w:val="003224DC"/>
    <w:rsid w:val="00331248"/>
    <w:rsid w:val="003347E6"/>
    <w:rsid w:val="00334B3B"/>
    <w:rsid w:val="00336584"/>
    <w:rsid w:val="00344F67"/>
    <w:rsid w:val="00346693"/>
    <w:rsid w:val="0035091C"/>
    <w:rsid w:val="0035434B"/>
    <w:rsid w:val="00356B88"/>
    <w:rsid w:val="00357FE7"/>
    <w:rsid w:val="00362917"/>
    <w:rsid w:val="00363D75"/>
    <w:rsid w:val="00365A5E"/>
    <w:rsid w:val="0036766D"/>
    <w:rsid w:val="00370D18"/>
    <w:rsid w:val="00382A25"/>
    <w:rsid w:val="0038429F"/>
    <w:rsid w:val="00385707"/>
    <w:rsid w:val="00386862"/>
    <w:rsid w:val="003904CD"/>
    <w:rsid w:val="003947C6"/>
    <w:rsid w:val="00394908"/>
    <w:rsid w:val="00395169"/>
    <w:rsid w:val="003A08ED"/>
    <w:rsid w:val="003A09CB"/>
    <w:rsid w:val="003A14B9"/>
    <w:rsid w:val="003A2144"/>
    <w:rsid w:val="003A3964"/>
    <w:rsid w:val="003A4843"/>
    <w:rsid w:val="003A4D18"/>
    <w:rsid w:val="003A5E4D"/>
    <w:rsid w:val="003B1C80"/>
    <w:rsid w:val="003B2DBB"/>
    <w:rsid w:val="003B309D"/>
    <w:rsid w:val="003B4AF6"/>
    <w:rsid w:val="003B5ADD"/>
    <w:rsid w:val="003B6413"/>
    <w:rsid w:val="003C0B7D"/>
    <w:rsid w:val="003C0B86"/>
    <w:rsid w:val="003C29F0"/>
    <w:rsid w:val="003C6D75"/>
    <w:rsid w:val="003C7D12"/>
    <w:rsid w:val="003D0DE3"/>
    <w:rsid w:val="003D1A66"/>
    <w:rsid w:val="003D244A"/>
    <w:rsid w:val="003D5ED9"/>
    <w:rsid w:val="003E23E9"/>
    <w:rsid w:val="003F0B09"/>
    <w:rsid w:val="003F41F3"/>
    <w:rsid w:val="003F645A"/>
    <w:rsid w:val="00402DB6"/>
    <w:rsid w:val="004058D6"/>
    <w:rsid w:val="00410A33"/>
    <w:rsid w:val="00410DED"/>
    <w:rsid w:val="00411665"/>
    <w:rsid w:val="00413684"/>
    <w:rsid w:val="0041511A"/>
    <w:rsid w:val="0041533C"/>
    <w:rsid w:val="004168CF"/>
    <w:rsid w:val="00416B26"/>
    <w:rsid w:val="00420495"/>
    <w:rsid w:val="004244BA"/>
    <w:rsid w:val="00424651"/>
    <w:rsid w:val="00432068"/>
    <w:rsid w:val="00433D15"/>
    <w:rsid w:val="004378C5"/>
    <w:rsid w:val="00442B5B"/>
    <w:rsid w:val="00442DEF"/>
    <w:rsid w:val="00445400"/>
    <w:rsid w:val="00446692"/>
    <w:rsid w:val="00447FCB"/>
    <w:rsid w:val="00453355"/>
    <w:rsid w:val="00454996"/>
    <w:rsid w:val="00455D68"/>
    <w:rsid w:val="0045628E"/>
    <w:rsid w:val="00457BBF"/>
    <w:rsid w:val="00461964"/>
    <w:rsid w:val="00465199"/>
    <w:rsid w:val="00465F93"/>
    <w:rsid w:val="004729DB"/>
    <w:rsid w:val="00475C6A"/>
    <w:rsid w:val="004820D4"/>
    <w:rsid w:val="004836CD"/>
    <w:rsid w:val="00492072"/>
    <w:rsid w:val="00492770"/>
    <w:rsid w:val="00492F3B"/>
    <w:rsid w:val="004968B9"/>
    <w:rsid w:val="00496BCD"/>
    <w:rsid w:val="00497FA5"/>
    <w:rsid w:val="004A12A5"/>
    <w:rsid w:val="004A3377"/>
    <w:rsid w:val="004B001F"/>
    <w:rsid w:val="004B4226"/>
    <w:rsid w:val="004B70BC"/>
    <w:rsid w:val="004B76C3"/>
    <w:rsid w:val="004B7D11"/>
    <w:rsid w:val="004C26D4"/>
    <w:rsid w:val="004C31F0"/>
    <w:rsid w:val="004C6FDC"/>
    <w:rsid w:val="004C7837"/>
    <w:rsid w:val="004C7B4F"/>
    <w:rsid w:val="004D0511"/>
    <w:rsid w:val="004D4BC1"/>
    <w:rsid w:val="004D50DC"/>
    <w:rsid w:val="004E56D3"/>
    <w:rsid w:val="004F148B"/>
    <w:rsid w:val="004F33DE"/>
    <w:rsid w:val="004F6692"/>
    <w:rsid w:val="00502815"/>
    <w:rsid w:val="00503C61"/>
    <w:rsid w:val="00503CAA"/>
    <w:rsid w:val="00507556"/>
    <w:rsid w:val="005125B1"/>
    <w:rsid w:val="00513528"/>
    <w:rsid w:val="00513A73"/>
    <w:rsid w:val="00513CE4"/>
    <w:rsid w:val="005166BB"/>
    <w:rsid w:val="00517F08"/>
    <w:rsid w:val="00525D13"/>
    <w:rsid w:val="00526F09"/>
    <w:rsid w:val="00530A15"/>
    <w:rsid w:val="005313AB"/>
    <w:rsid w:val="0053336D"/>
    <w:rsid w:val="00533D88"/>
    <w:rsid w:val="00541DFF"/>
    <w:rsid w:val="00542178"/>
    <w:rsid w:val="00542453"/>
    <w:rsid w:val="00544F6B"/>
    <w:rsid w:val="0054673C"/>
    <w:rsid w:val="0055152E"/>
    <w:rsid w:val="00551FDF"/>
    <w:rsid w:val="00552039"/>
    <w:rsid w:val="00557982"/>
    <w:rsid w:val="00564886"/>
    <w:rsid w:val="005712E2"/>
    <w:rsid w:val="005726AC"/>
    <w:rsid w:val="00574C86"/>
    <w:rsid w:val="00577A6F"/>
    <w:rsid w:val="00580CF4"/>
    <w:rsid w:val="00583976"/>
    <w:rsid w:val="00584030"/>
    <w:rsid w:val="00586083"/>
    <w:rsid w:val="00586FB6"/>
    <w:rsid w:val="005903E1"/>
    <w:rsid w:val="00591976"/>
    <w:rsid w:val="00591E79"/>
    <w:rsid w:val="00592691"/>
    <w:rsid w:val="0059476D"/>
    <w:rsid w:val="00594DCD"/>
    <w:rsid w:val="00597D54"/>
    <w:rsid w:val="00597E79"/>
    <w:rsid w:val="005A1299"/>
    <w:rsid w:val="005A33E3"/>
    <w:rsid w:val="005A4764"/>
    <w:rsid w:val="005B49D6"/>
    <w:rsid w:val="005B58B2"/>
    <w:rsid w:val="005B64E2"/>
    <w:rsid w:val="005C2D14"/>
    <w:rsid w:val="005C3F18"/>
    <w:rsid w:val="005D3A39"/>
    <w:rsid w:val="005D43E5"/>
    <w:rsid w:val="005D45D8"/>
    <w:rsid w:val="005D4B76"/>
    <w:rsid w:val="005D523C"/>
    <w:rsid w:val="005D60B9"/>
    <w:rsid w:val="005D6E52"/>
    <w:rsid w:val="005D7A20"/>
    <w:rsid w:val="005E1829"/>
    <w:rsid w:val="005E4C4E"/>
    <w:rsid w:val="005E5868"/>
    <w:rsid w:val="005E7E78"/>
    <w:rsid w:val="005F7365"/>
    <w:rsid w:val="005F74B6"/>
    <w:rsid w:val="0060033A"/>
    <w:rsid w:val="00606332"/>
    <w:rsid w:val="006104EA"/>
    <w:rsid w:val="00610753"/>
    <w:rsid w:val="00611170"/>
    <w:rsid w:val="00613A69"/>
    <w:rsid w:val="00614817"/>
    <w:rsid w:val="00615821"/>
    <w:rsid w:val="00622945"/>
    <w:rsid w:val="0062383B"/>
    <w:rsid w:val="00633C68"/>
    <w:rsid w:val="0063435A"/>
    <w:rsid w:val="0063438F"/>
    <w:rsid w:val="0063777E"/>
    <w:rsid w:val="00641AF6"/>
    <w:rsid w:val="006423EF"/>
    <w:rsid w:val="00643DD0"/>
    <w:rsid w:val="00644BB9"/>
    <w:rsid w:val="0064535A"/>
    <w:rsid w:val="00645495"/>
    <w:rsid w:val="00655CC7"/>
    <w:rsid w:val="006560AE"/>
    <w:rsid w:val="00662859"/>
    <w:rsid w:val="00663823"/>
    <w:rsid w:val="006640C4"/>
    <w:rsid w:val="00677557"/>
    <w:rsid w:val="00677898"/>
    <w:rsid w:val="00680094"/>
    <w:rsid w:val="006804C0"/>
    <w:rsid w:val="00681B6B"/>
    <w:rsid w:val="0069200E"/>
    <w:rsid w:val="00692453"/>
    <w:rsid w:val="006966B6"/>
    <w:rsid w:val="00696A81"/>
    <w:rsid w:val="006A029E"/>
    <w:rsid w:val="006A1B6C"/>
    <w:rsid w:val="006A1BB3"/>
    <w:rsid w:val="006B0237"/>
    <w:rsid w:val="006B1984"/>
    <w:rsid w:val="006B19AA"/>
    <w:rsid w:val="006B411D"/>
    <w:rsid w:val="006B4F00"/>
    <w:rsid w:val="006C0567"/>
    <w:rsid w:val="006C2BB8"/>
    <w:rsid w:val="006C4E63"/>
    <w:rsid w:val="006D1647"/>
    <w:rsid w:val="006D1EA6"/>
    <w:rsid w:val="006D2E56"/>
    <w:rsid w:val="006D486D"/>
    <w:rsid w:val="006D5260"/>
    <w:rsid w:val="006D72A5"/>
    <w:rsid w:val="006D7770"/>
    <w:rsid w:val="006E06B1"/>
    <w:rsid w:val="006E13DF"/>
    <w:rsid w:val="006E13FC"/>
    <w:rsid w:val="006E1B82"/>
    <w:rsid w:val="006E4159"/>
    <w:rsid w:val="006F21D3"/>
    <w:rsid w:val="00702978"/>
    <w:rsid w:val="007070AA"/>
    <w:rsid w:val="00710389"/>
    <w:rsid w:val="007158B2"/>
    <w:rsid w:val="00716840"/>
    <w:rsid w:val="00716DCB"/>
    <w:rsid w:val="00720884"/>
    <w:rsid w:val="007221A8"/>
    <w:rsid w:val="00722A59"/>
    <w:rsid w:val="00722EC2"/>
    <w:rsid w:val="00723245"/>
    <w:rsid w:val="00723543"/>
    <w:rsid w:val="00733EEC"/>
    <w:rsid w:val="00735CA9"/>
    <w:rsid w:val="0074170D"/>
    <w:rsid w:val="00741C69"/>
    <w:rsid w:val="007438C4"/>
    <w:rsid w:val="00744CC2"/>
    <w:rsid w:val="00744F64"/>
    <w:rsid w:val="0074677E"/>
    <w:rsid w:val="007505CA"/>
    <w:rsid w:val="007511B9"/>
    <w:rsid w:val="007515F4"/>
    <w:rsid w:val="007529A7"/>
    <w:rsid w:val="00753775"/>
    <w:rsid w:val="00755D8C"/>
    <w:rsid w:val="007572C3"/>
    <w:rsid w:val="00757488"/>
    <w:rsid w:val="00765D48"/>
    <w:rsid w:val="00766E6D"/>
    <w:rsid w:val="00770B27"/>
    <w:rsid w:val="00771079"/>
    <w:rsid w:val="007737D1"/>
    <w:rsid w:val="00774B4F"/>
    <w:rsid w:val="0078412F"/>
    <w:rsid w:val="007859FB"/>
    <w:rsid w:val="00787ED1"/>
    <w:rsid w:val="00792311"/>
    <w:rsid w:val="00792679"/>
    <w:rsid w:val="007927BD"/>
    <w:rsid w:val="007A571E"/>
    <w:rsid w:val="007A720A"/>
    <w:rsid w:val="007A734D"/>
    <w:rsid w:val="007A750D"/>
    <w:rsid w:val="007B2912"/>
    <w:rsid w:val="007B37D7"/>
    <w:rsid w:val="007B5A6B"/>
    <w:rsid w:val="007B5A6E"/>
    <w:rsid w:val="007B5F61"/>
    <w:rsid w:val="007B7377"/>
    <w:rsid w:val="007C13CF"/>
    <w:rsid w:val="007C2189"/>
    <w:rsid w:val="007C50C7"/>
    <w:rsid w:val="007C7016"/>
    <w:rsid w:val="007D49EC"/>
    <w:rsid w:val="007D51DD"/>
    <w:rsid w:val="007D652B"/>
    <w:rsid w:val="007D741F"/>
    <w:rsid w:val="007E0AC6"/>
    <w:rsid w:val="007E19A1"/>
    <w:rsid w:val="007E3082"/>
    <w:rsid w:val="007E3193"/>
    <w:rsid w:val="007E49DA"/>
    <w:rsid w:val="007E6134"/>
    <w:rsid w:val="007E7DD8"/>
    <w:rsid w:val="007F3FCF"/>
    <w:rsid w:val="007F43EF"/>
    <w:rsid w:val="007F6D6D"/>
    <w:rsid w:val="007F6F04"/>
    <w:rsid w:val="007F6F44"/>
    <w:rsid w:val="007F7347"/>
    <w:rsid w:val="007F7425"/>
    <w:rsid w:val="007F7E7C"/>
    <w:rsid w:val="007F7F51"/>
    <w:rsid w:val="00804050"/>
    <w:rsid w:val="00804BB7"/>
    <w:rsid w:val="0080703E"/>
    <w:rsid w:val="00814A67"/>
    <w:rsid w:val="00816F46"/>
    <w:rsid w:val="00822A5B"/>
    <w:rsid w:val="0082351E"/>
    <w:rsid w:val="008240A0"/>
    <w:rsid w:val="00824D11"/>
    <w:rsid w:val="00826A89"/>
    <w:rsid w:val="00826B68"/>
    <w:rsid w:val="008316E4"/>
    <w:rsid w:val="00831906"/>
    <w:rsid w:val="0083411F"/>
    <w:rsid w:val="008371AE"/>
    <w:rsid w:val="00841685"/>
    <w:rsid w:val="00844364"/>
    <w:rsid w:val="00844D29"/>
    <w:rsid w:val="00844FD3"/>
    <w:rsid w:val="008476A2"/>
    <w:rsid w:val="00854985"/>
    <w:rsid w:val="00855DA9"/>
    <w:rsid w:val="008611ED"/>
    <w:rsid w:val="00862878"/>
    <w:rsid w:val="00865BAE"/>
    <w:rsid w:val="00867C32"/>
    <w:rsid w:val="00867DD2"/>
    <w:rsid w:val="0087151D"/>
    <w:rsid w:val="008735E7"/>
    <w:rsid w:val="00873C13"/>
    <w:rsid w:val="00875DDC"/>
    <w:rsid w:val="00876693"/>
    <w:rsid w:val="00877083"/>
    <w:rsid w:val="00877BBE"/>
    <w:rsid w:val="00882E1D"/>
    <w:rsid w:val="00885706"/>
    <w:rsid w:val="00885956"/>
    <w:rsid w:val="0089151E"/>
    <w:rsid w:val="0089246C"/>
    <w:rsid w:val="008942CD"/>
    <w:rsid w:val="00894D9E"/>
    <w:rsid w:val="008956BA"/>
    <w:rsid w:val="00895F37"/>
    <w:rsid w:val="00896106"/>
    <w:rsid w:val="0089788E"/>
    <w:rsid w:val="008A0896"/>
    <w:rsid w:val="008A3A42"/>
    <w:rsid w:val="008A45B6"/>
    <w:rsid w:val="008A5441"/>
    <w:rsid w:val="008A6589"/>
    <w:rsid w:val="008A7BC6"/>
    <w:rsid w:val="008B151D"/>
    <w:rsid w:val="008B3B2F"/>
    <w:rsid w:val="008C15D7"/>
    <w:rsid w:val="008C23DE"/>
    <w:rsid w:val="008C76F1"/>
    <w:rsid w:val="008D71E1"/>
    <w:rsid w:val="008D741B"/>
    <w:rsid w:val="008E21BC"/>
    <w:rsid w:val="008E2C8E"/>
    <w:rsid w:val="008E2D93"/>
    <w:rsid w:val="008E5D38"/>
    <w:rsid w:val="008F0370"/>
    <w:rsid w:val="008F2F9A"/>
    <w:rsid w:val="008F3A3B"/>
    <w:rsid w:val="0090082A"/>
    <w:rsid w:val="00900C0F"/>
    <w:rsid w:val="00902A2C"/>
    <w:rsid w:val="00902CD9"/>
    <w:rsid w:val="0090412E"/>
    <w:rsid w:val="009046A5"/>
    <w:rsid w:val="00906806"/>
    <w:rsid w:val="009071CB"/>
    <w:rsid w:val="00910AD2"/>
    <w:rsid w:val="00910FFB"/>
    <w:rsid w:val="00912B75"/>
    <w:rsid w:val="00920CA5"/>
    <w:rsid w:val="00920E96"/>
    <w:rsid w:val="009233DD"/>
    <w:rsid w:val="00923FF8"/>
    <w:rsid w:val="00924308"/>
    <w:rsid w:val="00924897"/>
    <w:rsid w:val="0092491E"/>
    <w:rsid w:val="0092570F"/>
    <w:rsid w:val="0092788A"/>
    <w:rsid w:val="0093005D"/>
    <w:rsid w:val="009347C3"/>
    <w:rsid w:val="00934E97"/>
    <w:rsid w:val="00936EA3"/>
    <w:rsid w:val="009403CF"/>
    <w:rsid w:val="00943065"/>
    <w:rsid w:val="00943929"/>
    <w:rsid w:val="009439D3"/>
    <w:rsid w:val="00943A48"/>
    <w:rsid w:val="00944DEC"/>
    <w:rsid w:val="00945260"/>
    <w:rsid w:val="00946E27"/>
    <w:rsid w:val="00951B69"/>
    <w:rsid w:val="00951BA4"/>
    <w:rsid w:val="00953CE9"/>
    <w:rsid w:val="00954655"/>
    <w:rsid w:val="00955523"/>
    <w:rsid w:val="00964751"/>
    <w:rsid w:val="009722D8"/>
    <w:rsid w:val="009727CE"/>
    <w:rsid w:val="00973112"/>
    <w:rsid w:val="00973CE8"/>
    <w:rsid w:val="00976A21"/>
    <w:rsid w:val="00980798"/>
    <w:rsid w:val="009813AC"/>
    <w:rsid w:val="009850AF"/>
    <w:rsid w:val="00987B3C"/>
    <w:rsid w:val="009975EA"/>
    <w:rsid w:val="009A05AC"/>
    <w:rsid w:val="009A0B10"/>
    <w:rsid w:val="009A3E76"/>
    <w:rsid w:val="009A59BF"/>
    <w:rsid w:val="009A62C2"/>
    <w:rsid w:val="009A7E78"/>
    <w:rsid w:val="009B4555"/>
    <w:rsid w:val="009B4C49"/>
    <w:rsid w:val="009B59B4"/>
    <w:rsid w:val="009B6341"/>
    <w:rsid w:val="009C11FF"/>
    <w:rsid w:val="009C491B"/>
    <w:rsid w:val="009C4E5A"/>
    <w:rsid w:val="009C73B5"/>
    <w:rsid w:val="009D419E"/>
    <w:rsid w:val="009D64C6"/>
    <w:rsid w:val="009E0D63"/>
    <w:rsid w:val="009E3842"/>
    <w:rsid w:val="009E5CC4"/>
    <w:rsid w:val="00A03138"/>
    <w:rsid w:val="00A05E51"/>
    <w:rsid w:val="00A07CC0"/>
    <w:rsid w:val="00A103E3"/>
    <w:rsid w:val="00A107C7"/>
    <w:rsid w:val="00A10CBE"/>
    <w:rsid w:val="00A11395"/>
    <w:rsid w:val="00A125B9"/>
    <w:rsid w:val="00A1277A"/>
    <w:rsid w:val="00A213A2"/>
    <w:rsid w:val="00A2181D"/>
    <w:rsid w:val="00A21828"/>
    <w:rsid w:val="00A25DA5"/>
    <w:rsid w:val="00A32563"/>
    <w:rsid w:val="00A356F4"/>
    <w:rsid w:val="00A41F2E"/>
    <w:rsid w:val="00A4253E"/>
    <w:rsid w:val="00A450DC"/>
    <w:rsid w:val="00A457FE"/>
    <w:rsid w:val="00A460F3"/>
    <w:rsid w:val="00A47F68"/>
    <w:rsid w:val="00A50AD6"/>
    <w:rsid w:val="00A51239"/>
    <w:rsid w:val="00A53C6C"/>
    <w:rsid w:val="00A54193"/>
    <w:rsid w:val="00A64F7C"/>
    <w:rsid w:val="00A653BD"/>
    <w:rsid w:val="00A734D9"/>
    <w:rsid w:val="00A74FC4"/>
    <w:rsid w:val="00A76514"/>
    <w:rsid w:val="00A82CDC"/>
    <w:rsid w:val="00A86710"/>
    <w:rsid w:val="00A86B50"/>
    <w:rsid w:val="00A92C84"/>
    <w:rsid w:val="00A94ADD"/>
    <w:rsid w:val="00AA0414"/>
    <w:rsid w:val="00AA3274"/>
    <w:rsid w:val="00AB26FD"/>
    <w:rsid w:val="00AB281E"/>
    <w:rsid w:val="00AB3593"/>
    <w:rsid w:val="00AB3D9B"/>
    <w:rsid w:val="00AB41CD"/>
    <w:rsid w:val="00AB4666"/>
    <w:rsid w:val="00AB55E6"/>
    <w:rsid w:val="00AB6B2F"/>
    <w:rsid w:val="00AB6F3E"/>
    <w:rsid w:val="00AC5AAE"/>
    <w:rsid w:val="00AC761F"/>
    <w:rsid w:val="00AD38EF"/>
    <w:rsid w:val="00AD6D94"/>
    <w:rsid w:val="00AD72D5"/>
    <w:rsid w:val="00AE1FAC"/>
    <w:rsid w:val="00AE5C94"/>
    <w:rsid w:val="00AF02BA"/>
    <w:rsid w:val="00AF2CFA"/>
    <w:rsid w:val="00AF460E"/>
    <w:rsid w:val="00AF49F5"/>
    <w:rsid w:val="00AF5B20"/>
    <w:rsid w:val="00AF5F35"/>
    <w:rsid w:val="00B00D9E"/>
    <w:rsid w:val="00B02E4C"/>
    <w:rsid w:val="00B04D0A"/>
    <w:rsid w:val="00B1251A"/>
    <w:rsid w:val="00B1593C"/>
    <w:rsid w:val="00B17984"/>
    <w:rsid w:val="00B2003F"/>
    <w:rsid w:val="00B20BDC"/>
    <w:rsid w:val="00B212E6"/>
    <w:rsid w:val="00B21528"/>
    <w:rsid w:val="00B222D8"/>
    <w:rsid w:val="00B23EE2"/>
    <w:rsid w:val="00B255AA"/>
    <w:rsid w:val="00B30AE0"/>
    <w:rsid w:val="00B31E51"/>
    <w:rsid w:val="00B35975"/>
    <w:rsid w:val="00B41CCC"/>
    <w:rsid w:val="00B44ABE"/>
    <w:rsid w:val="00B45F2B"/>
    <w:rsid w:val="00B50D8E"/>
    <w:rsid w:val="00B5470B"/>
    <w:rsid w:val="00B55169"/>
    <w:rsid w:val="00B56EB6"/>
    <w:rsid w:val="00B653B9"/>
    <w:rsid w:val="00B66157"/>
    <w:rsid w:val="00B71325"/>
    <w:rsid w:val="00B71C0F"/>
    <w:rsid w:val="00B7228F"/>
    <w:rsid w:val="00B725A3"/>
    <w:rsid w:val="00B737D4"/>
    <w:rsid w:val="00B76281"/>
    <w:rsid w:val="00B767A3"/>
    <w:rsid w:val="00B81D01"/>
    <w:rsid w:val="00B8576F"/>
    <w:rsid w:val="00B86B8D"/>
    <w:rsid w:val="00B90B1F"/>
    <w:rsid w:val="00B93917"/>
    <w:rsid w:val="00B96CD3"/>
    <w:rsid w:val="00BA0BA8"/>
    <w:rsid w:val="00BA1141"/>
    <w:rsid w:val="00BA158E"/>
    <w:rsid w:val="00BA3483"/>
    <w:rsid w:val="00BC0B3A"/>
    <w:rsid w:val="00BC49D2"/>
    <w:rsid w:val="00BC508C"/>
    <w:rsid w:val="00BC5507"/>
    <w:rsid w:val="00BE13A9"/>
    <w:rsid w:val="00BE43D3"/>
    <w:rsid w:val="00BE4B6E"/>
    <w:rsid w:val="00BE73E6"/>
    <w:rsid w:val="00BF3819"/>
    <w:rsid w:val="00BF4D81"/>
    <w:rsid w:val="00BF4DEA"/>
    <w:rsid w:val="00C03FA6"/>
    <w:rsid w:val="00C04C1F"/>
    <w:rsid w:val="00C05812"/>
    <w:rsid w:val="00C06853"/>
    <w:rsid w:val="00C069BC"/>
    <w:rsid w:val="00C21F02"/>
    <w:rsid w:val="00C2251F"/>
    <w:rsid w:val="00C242AD"/>
    <w:rsid w:val="00C31848"/>
    <w:rsid w:val="00C346AB"/>
    <w:rsid w:val="00C35D06"/>
    <w:rsid w:val="00C36165"/>
    <w:rsid w:val="00C36F64"/>
    <w:rsid w:val="00C41781"/>
    <w:rsid w:val="00C421F2"/>
    <w:rsid w:val="00C43DEB"/>
    <w:rsid w:val="00C45420"/>
    <w:rsid w:val="00C51C88"/>
    <w:rsid w:val="00C6508E"/>
    <w:rsid w:val="00C6593A"/>
    <w:rsid w:val="00C659B6"/>
    <w:rsid w:val="00C66309"/>
    <w:rsid w:val="00C675A6"/>
    <w:rsid w:val="00C7072A"/>
    <w:rsid w:val="00C72B3C"/>
    <w:rsid w:val="00C7426A"/>
    <w:rsid w:val="00C75BB7"/>
    <w:rsid w:val="00C77611"/>
    <w:rsid w:val="00C77A20"/>
    <w:rsid w:val="00C77E33"/>
    <w:rsid w:val="00C815B8"/>
    <w:rsid w:val="00C8288A"/>
    <w:rsid w:val="00C839E8"/>
    <w:rsid w:val="00C96773"/>
    <w:rsid w:val="00C97D48"/>
    <w:rsid w:val="00CA0C7B"/>
    <w:rsid w:val="00CA24F9"/>
    <w:rsid w:val="00CA259C"/>
    <w:rsid w:val="00CA66C8"/>
    <w:rsid w:val="00CA6FB8"/>
    <w:rsid w:val="00CB0BCF"/>
    <w:rsid w:val="00CB6CA7"/>
    <w:rsid w:val="00CB74DC"/>
    <w:rsid w:val="00CC01E4"/>
    <w:rsid w:val="00CC2630"/>
    <w:rsid w:val="00CC264F"/>
    <w:rsid w:val="00CC7A05"/>
    <w:rsid w:val="00CD078A"/>
    <w:rsid w:val="00CD4DD6"/>
    <w:rsid w:val="00CE094D"/>
    <w:rsid w:val="00CE14C3"/>
    <w:rsid w:val="00CE1E3C"/>
    <w:rsid w:val="00CE5315"/>
    <w:rsid w:val="00CE793D"/>
    <w:rsid w:val="00CE7BFB"/>
    <w:rsid w:val="00CF49CE"/>
    <w:rsid w:val="00CF4ACB"/>
    <w:rsid w:val="00CF4C7C"/>
    <w:rsid w:val="00CF5913"/>
    <w:rsid w:val="00CF65D2"/>
    <w:rsid w:val="00D02D0E"/>
    <w:rsid w:val="00D04917"/>
    <w:rsid w:val="00D103D7"/>
    <w:rsid w:val="00D14EFD"/>
    <w:rsid w:val="00D15358"/>
    <w:rsid w:val="00D15A7B"/>
    <w:rsid w:val="00D15CC5"/>
    <w:rsid w:val="00D16691"/>
    <w:rsid w:val="00D176FF"/>
    <w:rsid w:val="00D22708"/>
    <w:rsid w:val="00D3130B"/>
    <w:rsid w:val="00D315D7"/>
    <w:rsid w:val="00D328EF"/>
    <w:rsid w:val="00D35781"/>
    <w:rsid w:val="00D35E10"/>
    <w:rsid w:val="00D400DE"/>
    <w:rsid w:val="00D4105C"/>
    <w:rsid w:val="00D432C4"/>
    <w:rsid w:val="00D43DAD"/>
    <w:rsid w:val="00D50749"/>
    <w:rsid w:val="00D51649"/>
    <w:rsid w:val="00D52BD2"/>
    <w:rsid w:val="00D52D21"/>
    <w:rsid w:val="00D608CC"/>
    <w:rsid w:val="00D644C8"/>
    <w:rsid w:val="00D67563"/>
    <w:rsid w:val="00D7068B"/>
    <w:rsid w:val="00D71078"/>
    <w:rsid w:val="00D81C37"/>
    <w:rsid w:val="00D83082"/>
    <w:rsid w:val="00D8334D"/>
    <w:rsid w:val="00D84A49"/>
    <w:rsid w:val="00D977F0"/>
    <w:rsid w:val="00DA0035"/>
    <w:rsid w:val="00DA06AF"/>
    <w:rsid w:val="00DA23F7"/>
    <w:rsid w:val="00DA7E0B"/>
    <w:rsid w:val="00DB0F49"/>
    <w:rsid w:val="00DB55E7"/>
    <w:rsid w:val="00DC3C59"/>
    <w:rsid w:val="00DC4106"/>
    <w:rsid w:val="00DC531D"/>
    <w:rsid w:val="00DD0605"/>
    <w:rsid w:val="00DD529A"/>
    <w:rsid w:val="00DD6713"/>
    <w:rsid w:val="00DE05F0"/>
    <w:rsid w:val="00DE5DF9"/>
    <w:rsid w:val="00DF2ED7"/>
    <w:rsid w:val="00DF5A83"/>
    <w:rsid w:val="00DF7E6F"/>
    <w:rsid w:val="00E00669"/>
    <w:rsid w:val="00E01A02"/>
    <w:rsid w:val="00E0220D"/>
    <w:rsid w:val="00E03E1C"/>
    <w:rsid w:val="00E04B79"/>
    <w:rsid w:val="00E071A3"/>
    <w:rsid w:val="00E1060E"/>
    <w:rsid w:val="00E130AD"/>
    <w:rsid w:val="00E13DC8"/>
    <w:rsid w:val="00E14479"/>
    <w:rsid w:val="00E14D52"/>
    <w:rsid w:val="00E2635B"/>
    <w:rsid w:val="00E27CB8"/>
    <w:rsid w:val="00E3064E"/>
    <w:rsid w:val="00E33B1E"/>
    <w:rsid w:val="00E3447C"/>
    <w:rsid w:val="00E4109A"/>
    <w:rsid w:val="00E412DA"/>
    <w:rsid w:val="00E419CA"/>
    <w:rsid w:val="00E42D21"/>
    <w:rsid w:val="00E44382"/>
    <w:rsid w:val="00E471E7"/>
    <w:rsid w:val="00E51047"/>
    <w:rsid w:val="00E53B48"/>
    <w:rsid w:val="00E543A5"/>
    <w:rsid w:val="00E5670F"/>
    <w:rsid w:val="00E570EB"/>
    <w:rsid w:val="00E60133"/>
    <w:rsid w:val="00E605D2"/>
    <w:rsid w:val="00E64286"/>
    <w:rsid w:val="00E663DE"/>
    <w:rsid w:val="00E672E7"/>
    <w:rsid w:val="00E73AB2"/>
    <w:rsid w:val="00E83E78"/>
    <w:rsid w:val="00E87986"/>
    <w:rsid w:val="00E90B3B"/>
    <w:rsid w:val="00E9530E"/>
    <w:rsid w:val="00E95B3A"/>
    <w:rsid w:val="00E95B7B"/>
    <w:rsid w:val="00EB3863"/>
    <w:rsid w:val="00EB419A"/>
    <w:rsid w:val="00EB616B"/>
    <w:rsid w:val="00EC1011"/>
    <w:rsid w:val="00EC10FA"/>
    <w:rsid w:val="00EC437F"/>
    <w:rsid w:val="00EC6B1A"/>
    <w:rsid w:val="00EC7060"/>
    <w:rsid w:val="00ED3494"/>
    <w:rsid w:val="00ED6850"/>
    <w:rsid w:val="00ED7D01"/>
    <w:rsid w:val="00EE0155"/>
    <w:rsid w:val="00EE034B"/>
    <w:rsid w:val="00EE109A"/>
    <w:rsid w:val="00EE639C"/>
    <w:rsid w:val="00EE7C11"/>
    <w:rsid w:val="00EE7E86"/>
    <w:rsid w:val="00EF0024"/>
    <w:rsid w:val="00EF182F"/>
    <w:rsid w:val="00EF1A7B"/>
    <w:rsid w:val="00F02260"/>
    <w:rsid w:val="00F0268C"/>
    <w:rsid w:val="00F044DB"/>
    <w:rsid w:val="00F04ADD"/>
    <w:rsid w:val="00F04CF7"/>
    <w:rsid w:val="00F06949"/>
    <w:rsid w:val="00F1017C"/>
    <w:rsid w:val="00F13DD9"/>
    <w:rsid w:val="00F15922"/>
    <w:rsid w:val="00F15987"/>
    <w:rsid w:val="00F21996"/>
    <w:rsid w:val="00F25F6B"/>
    <w:rsid w:val="00F300BC"/>
    <w:rsid w:val="00F321FF"/>
    <w:rsid w:val="00F42E86"/>
    <w:rsid w:val="00F4510E"/>
    <w:rsid w:val="00F47D18"/>
    <w:rsid w:val="00F505E8"/>
    <w:rsid w:val="00F522D0"/>
    <w:rsid w:val="00F5564E"/>
    <w:rsid w:val="00F579CD"/>
    <w:rsid w:val="00F57FE9"/>
    <w:rsid w:val="00F60596"/>
    <w:rsid w:val="00F619C2"/>
    <w:rsid w:val="00F63348"/>
    <w:rsid w:val="00F64F69"/>
    <w:rsid w:val="00F666F4"/>
    <w:rsid w:val="00F73038"/>
    <w:rsid w:val="00F73F20"/>
    <w:rsid w:val="00F75DF7"/>
    <w:rsid w:val="00F76CAA"/>
    <w:rsid w:val="00F82740"/>
    <w:rsid w:val="00F8480A"/>
    <w:rsid w:val="00F85F04"/>
    <w:rsid w:val="00F90709"/>
    <w:rsid w:val="00F91606"/>
    <w:rsid w:val="00F94434"/>
    <w:rsid w:val="00FA030D"/>
    <w:rsid w:val="00FA135A"/>
    <w:rsid w:val="00FA71D3"/>
    <w:rsid w:val="00FB0401"/>
    <w:rsid w:val="00FB2876"/>
    <w:rsid w:val="00FB414C"/>
    <w:rsid w:val="00FB4762"/>
    <w:rsid w:val="00FB5281"/>
    <w:rsid w:val="00FB5E0F"/>
    <w:rsid w:val="00FB7546"/>
    <w:rsid w:val="00FC0A80"/>
    <w:rsid w:val="00FC2640"/>
    <w:rsid w:val="00FC3062"/>
    <w:rsid w:val="00FC76E0"/>
    <w:rsid w:val="00FD5044"/>
    <w:rsid w:val="00FD521C"/>
    <w:rsid w:val="00FD7266"/>
    <w:rsid w:val="00FD728D"/>
    <w:rsid w:val="00FD7486"/>
    <w:rsid w:val="00FE10EA"/>
    <w:rsid w:val="00FE48FA"/>
    <w:rsid w:val="00FE5B38"/>
    <w:rsid w:val="00FE5FFB"/>
    <w:rsid w:val="00FE6E1C"/>
    <w:rsid w:val="00FF0351"/>
    <w:rsid w:val="00FF0685"/>
    <w:rsid w:val="00FF5567"/>
    <w:rsid w:val="00FF77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62"/>
    <w:pPr>
      <w:spacing w:after="200" w:line="360" w:lineRule="auto"/>
    </w:pPr>
    <w:rPr>
      <w:rFonts w:ascii="Arial" w:hAnsi="Arial"/>
      <w:sz w:val="22"/>
      <w:szCs w:val="22"/>
      <w:lang w:val="en-AU" w:eastAsia="en-US"/>
    </w:rPr>
  </w:style>
  <w:style w:type="paragraph" w:styleId="Heading1">
    <w:name w:val="heading 1"/>
    <w:basedOn w:val="Normal"/>
    <w:next w:val="Normal"/>
    <w:link w:val="Heading1Char"/>
    <w:qFormat/>
    <w:locked/>
    <w:rsid w:val="00B50D8E"/>
    <w:pPr>
      <w:keepNext/>
      <w:spacing w:before="240" w:after="60"/>
      <w:outlineLvl w:val="0"/>
    </w:pPr>
    <w:rPr>
      <w:rFonts w:ascii="Cambria" w:hAnsi="Cambria" w:cs="Times New Roman"/>
      <w:b/>
      <w:bCs/>
      <w:kern w:val="32"/>
      <w:sz w:val="28"/>
      <w:szCs w:val="32"/>
    </w:rPr>
  </w:style>
  <w:style w:type="paragraph" w:styleId="Heading2">
    <w:name w:val="heading 2"/>
    <w:basedOn w:val="Normal"/>
    <w:next w:val="Normal"/>
    <w:link w:val="Heading2Char"/>
    <w:unhideWhenUsed/>
    <w:qFormat/>
    <w:locked/>
    <w:rsid w:val="00A4253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locked/>
    <w:rsid w:val="00A4253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locked/>
    <w:rsid w:val="0072088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543"/>
    <w:pPr>
      <w:spacing w:after="0" w:line="240" w:lineRule="auto"/>
      <w:ind w:left="720"/>
      <w:contextualSpacing/>
    </w:pPr>
    <w:rPr>
      <w:lang w:val="en-GB"/>
    </w:rPr>
  </w:style>
  <w:style w:type="paragraph" w:styleId="Header">
    <w:name w:val="header"/>
    <w:basedOn w:val="Normal"/>
    <w:link w:val="HeaderChar"/>
    <w:uiPriority w:val="99"/>
    <w:rsid w:val="00644BB9"/>
    <w:pPr>
      <w:tabs>
        <w:tab w:val="center" w:pos="4513"/>
        <w:tab w:val="right" w:pos="9026"/>
      </w:tabs>
      <w:spacing w:after="0" w:line="240" w:lineRule="auto"/>
    </w:pPr>
  </w:style>
  <w:style w:type="character" w:customStyle="1" w:styleId="HeaderChar">
    <w:name w:val="Header Char"/>
    <w:link w:val="Header"/>
    <w:uiPriority w:val="99"/>
    <w:locked/>
    <w:rsid w:val="00644BB9"/>
    <w:rPr>
      <w:rFonts w:cs="Times New Roman"/>
    </w:rPr>
  </w:style>
  <w:style w:type="paragraph" w:styleId="Footer">
    <w:name w:val="footer"/>
    <w:basedOn w:val="Normal"/>
    <w:link w:val="FooterChar"/>
    <w:uiPriority w:val="99"/>
    <w:rsid w:val="00644BB9"/>
    <w:pPr>
      <w:tabs>
        <w:tab w:val="center" w:pos="4513"/>
        <w:tab w:val="right" w:pos="9026"/>
      </w:tabs>
      <w:spacing w:after="0" w:line="240" w:lineRule="auto"/>
    </w:pPr>
  </w:style>
  <w:style w:type="character" w:customStyle="1" w:styleId="FooterChar">
    <w:name w:val="Footer Char"/>
    <w:link w:val="Footer"/>
    <w:uiPriority w:val="99"/>
    <w:locked/>
    <w:rsid w:val="00644BB9"/>
    <w:rPr>
      <w:rFonts w:cs="Times New Roman"/>
    </w:rPr>
  </w:style>
  <w:style w:type="paragraph" w:styleId="BalloonText">
    <w:name w:val="Balloon Text"/>
    <w:basedOn w:val="Normal"/>
    <w:link w:val="BalloonTextChar"/>
    <w:uiPriority w:val="99"/>
    <w:semiHidden/>
    <w:rsid w:val="00644B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44BB9"/>
    <w:rPr>
      <w:rFonts w:ascii="Tahoma" w:hAnsi="Tahoma" w:cs="Tahoma"/>
      <w:sz w:val="16"/>
      <w:szCs w:val="16"/>
    </w:rPr>
  </w:style>
  <w:style w:type="character" w:styleId="PageNumber">
    <w:name w:val="page number"/>
    <w:uiPriority w:val="99"/>
    <w:rsid w:val="009B4C49"/>
    <w:rPr>
      <w:rFonts w:cs="Times New Roman"/>
    </w:rPr>
  </w:style>
  <w:style w:type="character" w:customStyle="1" w:styleId="Heading1Char">
    <w:name w:val="Heading 1 Char"/>
    <w:link w:val="Heading1"/>
    <w:rsid w:val="00B50D8E"/>
    <w:rPr>
      <w:rFonts w:ascii="Cambria" w:hAnsi="Cambria" w:cs="Times New Roman"/>
      <w:b/>
      <w:bCs/>
      <w:kern w:val="32"/>
      <w:sz w:val="28"/>
      <w:szCs w:val="32"/>
      <w:lang w:val="en-AU" w:eastAsia="en-US"/>
    </w:rPr>
  </w:style>
  <w:style w:type="character" w:styleId="Hyperlink">
    <w:name w:val="Hyperlink"/>
    <w:uiPriority w:val="99"/>
    <w:rsid w:val="001D0391"/>
    <w:rPr>
      <w:rFonts w:cs="Times New Roman"/>
      <w:color w:val="0000FF"/>
      <w:u w:val="single"/>
    </w:rPr>
  </w:style>
  <w:style w:type="paragraph" w:styleId="EnvelopeAddress">
    <w:name w:val="envelope address"/>
    <w:basedOn w:val="Normal"/>
    <w:uiPriority w:val="99"/>
    <w:rsid w:val="001D0391"/>
    <w:pPr>
      <w:framePr w:w="5040" w:h="1980" w:hRule="exact" w:hSpace="180" w:wrap="auto" w:vAnchor="page" w:hAnchor="page" w:x="577" w:y="361"/>
      <w:spacing w:after="0" w:line="240" w:lineRule="auto"/>
    </w:pPr>
    <w:rPr>
      <w:rFonts w:ascii="Cambria" w:hAnsi="Cambria" w:cs="Times New Roman"/>
      <w:sz w:val="24"/>
      <w:szCs w:val="24"/>
      <w:lang w:val="en-GB"/>
    </w:rPr>
  </w:style>
  <w:style w:type="paragraph" w:styleId="FootnoteText">
    <w:name w:val="footnote text"/>
    <w:basedOn w:val="Normal"/>
    <w:link w:val="FootnoteTextChar"/>
    <w:semiHidden/>
    <w:unhideWhenUsed/>
    <w:rsid w:val="00066667"/>
    <w:rPr>
      <w:sz w:val="20"/>
      <w:szCs w:val="20"/>
    </w:rPr>
  </w:style>
  <w:style w:type="character" w:customStyle="1" w:styleId="FootnoteTextChar">
    <w:name w:val="Footnote Text Char"/>
    <w:link w:val="FootnoteText"/>
    <w:uiPriority w:val="99"/>
    <w:semiHidden/>
    <w:rsid w:val="00066667"/>
    <w:rPr>
      <w:lang w:val="en-AU" w:eastAsia="en-US"/>
    </w:rPr>
  </w:style>
  <w:style w:type="character" w:styleId="FootnoteReference">
    <w:name w:val="footnote reference"/>
    <w:semiHidden/>
    <w:unhideWhenUsed/>
    <w:rsid w:val="00066667"/>
    <w:rPr>
      <w:vertAlign w:val="superscript"/>
    </w:rPr>
  </w:style>
  <w:style w:type="character" w:customStyle="1" w:styleId="Heading2Char">
    <w:name w:val="Heading 2 Char"/>
    <w:link w:val="Heading2"/>
    <w:rsid w:val="00A4253E"/>
    <w:rPr>
      <w:rFonts w:ascii="Cambria" w:eastAsia="SimSun" w:hAnsi="Cambria" w:cs="Times New Roman"/>
      <w:b/>
      <w:bCs/>
      <w:i/>
      <w:iCs/>
      <w:sz w:val="28"/>
      <w:szCs w:val="28"/>
      <w:lang w:val="en-AU" w:eastAsia="en-US"/>
    </w:rPr>
  </w:style>
  <w:style w:type="character" w:customStyle="1" w:styleId="Heading3Char">
    <w:name w:val="Heading 3 Char"/>
    <w:link w:val="Heading3"/>
    <w:rsid w:val="00A4253E"/>
    <w:rPr>
      <w:rFonts w:ascii="Cambria" w:eastAsia="SimSun" w:hAnsi="Cambria" w:cs="Times New Roman"/>
      <w:b/>
      <w:bCs/>
      <w:sz w:val="26"/>
      <w:szCs w:val="26"/>
      <w:lang w:val="en-AU" w:eastAsia="en-US"/>
    </w:rPr>
  </w:style>
  <w:style w:type="paragraph" w:styleId="TOCHeading">
    <w:name w:val="TOC Heading"/>
    <w:basedOn w:val="Heading1"/>
    <w:next w:val="Normal"/>
    <w:uiPriority w:val="39"/>
    <w:semiHidden/>
    <w:unhideWhenUsed/>
    <w:qFormat/>
    <w:rsid w:val="00876693"/>
    <w:pPr>
      <w:keepLines/>
      <w:spacing w:before="480" w:after="0"/>
      <w:outlineLvl w:val="9"/>
    </w:pPr>
    <w:rPr>
      <w:rFonts w:eastAsia="MS Gothic"/>
      <w:color w:val="365F91"/>
      <w:kern w:val="0"/>
      <w:szCs w:val="28"/>
      <w:lang w:val="en-US" w:eastAsia="ja-JP"/>
    </w:rPr>
  </w:style>
  <w:style w:type="paragraph" w:styleId="TOC1">
    <w:name w:val="toc 1"/>
    <w:basedOn w:val="Normal"/>
    <w:next w:val="Normal"/>
    <w:autoRedefine/>
    <w:uiPriority w:val="39"/>
    <w:locked/>
    <w:rsid w:val="00876693"/>
  </w:style>
  <w:style w:type="paragraph" w:styleId="TOC2">
    <w:name w:val="toc 2"/>
    <w:basedOn w:val="Normal"/>
    <w:next w:val="Normal"/>
    <w:autoRedefine/>
    <w:uiPriority w:val="39"/>
    <w:locked/>
    <w:rsid w:val="00876693"/>
    <w:pPr>
      <w:ind w:left="220"/>
    </w:pPr>
  </w:style>
  <w:style w:type="paragraph" w:styleId="TOC3">
    <w:name w:val="toc 3"/>
    <w:basedOn w:val="Normal"/>
    <w:next w:val="Normal"/>
    <w:autoRedefine/>
    <w:uiPriority w:val="39"/>
    <w:locked/>
    <w:rsid w:val="00876693"/>
    <w:pPr>
      <w:ind w:left="440"/>
    </w:pPr>
  </w:style>
  <w:style w:type="paragraph" w:styleId="NoSpacing">
    <w:name w:val="No Spacing"/>
    <w:link w:val="NoSpacingChar"/>
    <w:uiPriority w:val="1"/>
    <w:qFormat/>
    <w:rsid w:val="00BC508C"/>
    <w:rPr>
      <w:rFonts w:eastAsia="MS Mincho"/>
      <w:sz w:val="22"/>
      <w:szCs w:val="22"/>
      <w:lang w:eastAsia="ja-JP"/>
    </w:rPr>
  </w:style>
  <w:style w:type="character" w:customStyle="1" w:styleId="NoSpacingChar">
    <w:name w:val="No Spacing Char"/>
    <w:link w:val="NoSpacing"/>
    <w:uiPriority w:val="1"/>
    <w:rsid w:val="00BC508C"/>
    <w:rPr>
      <w:rFonts w:eastAsia="MS Mincho"/>
      <w:sz w:val="22"/>
      <w:szCs w:val="22"/>
      <w:lang w:eastAsia="ja-JP"/>
    </w:rPr>
  </w:style>
  <w:style w:type="paragraph" w:styleId="Title">
    <w:name w:val="Title"/>
    <w:basedOn w:val="Normal"/>
    <w:next w:val="Normal"/>
    <w:link w:val="TitleChar"/>
    <w:uiPriority w:val="10"/>
    <w:qFormat/>
    <w:locked/>
    <w:rsid w:val="00BC508C"/>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link w:val="Title"/>
    <w:uiPriority w:val="10"/>
    <w:rsid w:val="00BC508C"/>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locked/>
    <w:rsid w:val="00BC508C"/>
    <w:pPr>
      <w:numPr>
        <w:ilvl w:val="1"/>
      </w:numPr>
      <w:spacing w:line="276" w:lineRule="auto"/>
    </w:pPr>
    <w:rPr>
      <w:rFonts w:ascii="Cambria" w:eastAsia="MS Gothic" w:hAnsi="Cambria" w:cs="Times New Roman"/>
      <w:i/>
      <w:iCs/>
      <w:color w:val="4F81BD"/>
      <w:spacing w:val="15"/>
      <w:sz w:val="24"/>
      <w:szCs w:val="24"/>
      <w:lang w:val="en-US" w:eastAsia="ja-JP"/>
    </w:rPr>
  </w:style>
  <w:style w:type="character" w:customStyle="1" w:styleId="SubtitleChar">
    <w:name w:val="Subtitle Char"/>
    <w:link w:val="Subtitle"/>
    <w:uiPriority w:val="11"/>
    <w:rsid w:val="00BC508C"/>
    <w:rPr>
      <w:rFonts w:ascii="Cambria" w:eastAsia="MS Gothic" w:hAnsi="Cambria" w:cs="Times New Roman"/>
      <w:i/>
      <w:iCs/>
      <w:color w:val="4F81BD"/>
      <w:spacing w:val="15"/>
      <w:sz w:val="24"/>
      <w:szCs w:val="24"/>
      <w:lang w:eastAsia="ja-JP"/>
    </w:rPr>
  </w:style>
  <w:style w:type="character" w:customStyle="1" w:styleId="Heading4Char">
    <w:name w:val="Heading 4 Char"/>
    <w:link w:val="Heading4"/>
    <w:rsid w:val="00720884"/>
    <w:rPr>
      <w:rFonts w:ascii="Calibri" w:eastAsia="SimSun" w:hAnsi="Calibri" w:cs="Arial"/>
      <w:b/>
      <w:bCs/>
      <w:sz w:val="28"/>
      <w:szCs w:val="28"/>
      <w:lang w:val="en-AU" w:eastAsia="en-US"/>
    </w:rPr>
  </w:style>
  <w:style w:type="character" w:styleId="FollowedHyperlink">
    <w:name w:val="FollowedHyperlink"/>
    <w:basedOn w:val="DefaultParagraphFont"/>
    <w:uiPriority w:val="99"/>
    <w:semiHidden/>
    <w:unhideWhenUsed/>
    <w:rsid w:val="00D52BD2"/>
    <w:rPr>
      <w:color w:val="800080" w:themeColor="followedHyperlink"/>
      <w:u w:val="single"/>
    </w:rPr>
  </w:style>
  <w:style w:type="character" w:styleId="CommentReference">
    <w:name w:val="annotation reference"/>
    <w:basedOn w:val="DefaultParagraphFont"/>
    <w:uiPriority w:val="99"/>
    <w:semiHidden/>
    <w:unhideWhenUsed/>
    <w:rsid w:val="00E071A3"/>
    <w:rPr>
      <w:sz w:val="16"/>
      <w:szCs w:val="16"/>
    </w:rPr>
  </w:style>
  <w:style w:type="paragraph" w:styleId="CommentText">
    <w:name w:val="annotation text"/>
    <w:basedOn w:val="Normal"/>
    <w:link w:val="CommentTextChar"/>
    <w:uiPriority w:val="99"/>
    <w:semiHidden/>
    <w:unhideWhenUsed/>
    <w:rsid w:val="00E071A3"/>
    <w:pPr>
      <w:spacing w:line="240" w:lineRule="auto"/>
    </w:pPr>
    <w:rPr>
      <w:sz w:val="20"/>
      <w:szCs w:val="20"/>
    </w:rPr>
  </w:style>
  <w:style w:type="character" w:customStyle="1" w:styleId="CommentTextChar">
    <w:name w:val="Comment Text Char"/>
    <w:basedOn w:val="DefaultParagraphFont"/>
    <w:link w:val="CommentText"/>
    <w:uiPriority w:val="99"/>
    <w:semiHidden/>
    <w:rsid w:val="00E071A3"/>
    <w:rPr>
      <w:rFonts w:ascii="Arial" w:hAnsi="Arial"/>
      <w:lang w:val="en-AU" w:eastAsia="en-US"/>
    </w:rPr>
  </w:style>
  <w:style w:type="paragraph" w:styleId="CommentSubject">
    <w:name w:val="annotation subject"/>
    <w:basedOn w:val="CommentText"/>
    <w:next w:val="CommentText"/>
    <w:link w:val="CommentSubjectChar"/>
    <w:uiPriority w:val="99"/>
    <w:semiHidden/>
    <w:unhideWhenUsed/>
    <w:rsid w:val="00E071A3"/>
    <w:rPr>
      <w:b/>
      <w:bCs/>
    </w:rPr>
  </w:style>
  <w:style w:type="character" w:customStyle="1" w:styleId="CommentSubjectChar">
    <w:name w:val="Comment Subject Char"/>
    <w:basedOn w:val="CommentTextChar"/>
    <w:link w:val="CommentSubject"/>
    <w:uiPriority w:val="99"/>
    <w:semiHidden/>
    <w:rsid w:val="00E071A3"/>
    <w:rPr>
      <w:rFonts w:ascii="Arial" w:hAnsi="Arial"/>
      <w:b/>
      <w:bCs/>
      <w:lang w:val="en-AU" w:eastAsia="en-US"/>
    </w:rPr>
  </w:style>
  <w:style w:type="paragraph" w:styleId="BodyText2">
    <w:name w:val="Body Text 2"/>
    <w:basedOn w:val="Normal"/>
    <w:link w:val="BodyText2Char"/>
    <w:rsid w:val="00525D1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de-DE"/>
    </w:rPr>
  </w:style>
  <w:style w:type="character" w:customStyle="1" w:styleId="BodyText2Char">
    <w:name w:val="Body Text 2 Char"/>
    <w:basedOn w:val="DefaultParagraphFont"/>
    <w:link w:val="BodyText2"/>
    <w:rsid w:val="00525D13"/>
    <w:rPr>
      <w:rFonts w:ascii="Times New Roman" w:eastAsia="Times New Roman" w:hAnsi="Times New Roman" w:cs="Times New Roman"/>
      <w:lang w:val="de-DE" w:eastAsia="en-US"/>
    </w:rPr>
  </w:style>
  <w:style w:type="character" w:styleId="Emphasis">
    <w:name w:val="Emphasis"/>
    <w:basedOn w:val="DefaultParagraphFont"/>
    <w:uiPriority w:val="20"/>
    <w:qFormat/>
    <w:locked/>
    <w:rsid w:val="00B17984"/>
    <w:rPr>
      <w:b/>
      <w:bCs/>
      <w:i w:val="0"/>
      <w:iCs w:val="0"/>
    </w:rPr>
  </w:style>
  <w:style w:type="character" w:customStyle="1" w:styleId="st">
    <w:name w:val="st"/>
    <w:basedOn w:val="DefaultParagraphFont"/>
    <w:rsid w:val="00B17984"/>
  </w:style>
  <w:style w:type="paragraph" w:customStyle="1" w:styleId="paragraph">
    <w:name w:val="paragraph"/>
    <w:basedOn w:val="Normal"/>
    <w:rsid w:val="006E13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6E13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6E1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62"/>
    <w:pPr>
      <w:spacing w:after="200" w:line="360" w:lineRule="auto"/>
    </w:pPr>
    <w:rPr>
      <w:rFonts w:ascii="Arial" w:hAnsi="Arial"/>
      <w:sz w:val="22"/>
      <w:szCs w:val="22"/>
      <w:lang w:val="en-AU" w:eastAsia="en-US"/>
    </w:rPr>
  </w:style>
  <w:style w:type="paragraph" w:styleId="Heading1">
    <w:name w:val="heading 1"/>
    <w:basedOn w:val="Normal"/>
    <w:next w:val="Normal"/>
    <w:link w:val="Heading1Char"/>
    <w:qFormat/>
    <w:locked/>
    <w:rsid w:val="00B50D8E"/>
    <w:pPr>
      <w:keepNext/>
      <w:spacing w:before="240" w:after="60"/>
      <w:outlineLvl w:val="0"/>
    </w:pPr>
    <w:rPr>
      <w:rFonts w:ascii="Cambria" w:hAnsi="Cambria" w:cs="Times New Roman"/>
      <w:b/>
      <w:bCs/>
      <w:kern w:val="32"/>
      <w:sz w:val="28"/>
      <w:szCs w:val="32"/>
    </w:rPr>
  </w:style>
  <w:style w:type="paragraph" w:styleId="Heading2">
    <w:name w:val="heading 2"/>
    <w:basedOn w:val="Normal"/>
    <w:next w:val="Normal"/>
    <w:link w:val="Heading2Char"/>
    <w:unhideWhenUsed/>
    <w:qFormat/>
    <w:locked/>
    <w:rsid w:val="00A4253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locked/>
    <w:rsid w:val="00A4253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locked/>
    <w:rsid w:val="0072088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543"/>
    <w:pPr>
      <w:spacing w:after="0" w:line="240" w:lineRule="auto"/>
      <w:ind w:left="720"/>
      <w:contextualSpacing/>
    </w:pPr>
    <w:rPr>
      <w:lang w:val="en-GB"/>
    </w:rPr>
  </w:style>
  <w:style w:type="paragraph" w:styleId="Header">
    <w:name w:val="header"/>
    <w:basedOn w:val="Normal"/>
    <w:link w:val="HeaderChar"/>
    <w:uiPriority w:val="99"/>
    <w:rsid w:val="00644BB9"/>
    <w:pPr>
      <w:tabs>
        <w:tab w:val="center" w:pos="4513"/>
        <w:tab w:val="right" w:pos="9026"/>
      </w:tabs>
      <w:spacing w:after="0" w:line="240" w:lineRule="auto"/>
    </w:pPr>
  </w:style>
  <w:style w:type="character" w:customStyle="1" w:styleId="HeaderChar">
    <w:name w:val="Header Char"/>
    <w:link w:val="Header"/>
    <w:uiPriority w:val="99"/>
    <w:locked/>
    <w:rsid w:val="00644BB9"/>
    <w:rPr>
      <w:rFonts w:cs="Times New Roman"/>
    </w:rPr>
  </w:style>
  <w:style w:type="paragraph" w:styleId="Footer">
    <w:name w:val="footer"/>
    <w:basedOn w:val="Normal"/>
    <w:link w:val="FooterChar"/>
    <w:uiPriority w:val="99"/>
    <w:rsid w:val="00644BB9"/>
    <w:pPr>
      <w:tabs>
        <w:tab w:val="center" w:pos="4513"/>
        <w:tab w:val="right" w:pos="9026"/>
      </w:tabs>
      <w:spacing w:after="0" w:line="240" w:lineRule="auto"/>
    </w:pPr>
  </w:style>
  <w:style w:type="character" w:customStyle="1" w:styleId="FooterChar">
    <w:name w:val="Footer Char"/>
    <w:link w:val="Footer"/>
    <w:uiPriority w:val="99"/>
    <w:locked/>
    <w:rsid w:val="00644BB9"/>
    <w:rPr>
      <w:rFonts w:cs="Times New Roman"/>
    </w:rPr>
  </w:style>
  <w:style w:type="paragraph" w:styleId="BalloonText">
    <w:name w:val="Balloon Text"/>
    <w:basedOn w:val="Normal"/>
    <w:link w:val="BalloonTextChar"/>
    <w:uiPriority w:val="99"/>
    <w:semiHidden/>
    <w:rsid w:val="00644B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44BB9"/>
    <w:rPr>
      <w:rFonts w:ascii="Tahoma" w:hAnsi="Tahoma" w:cs="Tahoma"/>
      <w:sz w:val="16"/>
      <w:szCs w:val="16"/>
    </w:rPr>
  </w:style>
  <w:style w:type="character" w:styleId="PageNumber">
    <w:name w:val="page number"/>
    <w:uiPriority w:val="99"/>
    <w:rsid w:val="009B4C49"/>
    <w:rPr>
      <w:rFonts w:cs="Times New Roman"/>
    </w:rPr>
  </w:style>
  <w:style w:type="character" w:customStyle="1" w:styleId="Heading1Char">
    <w:name w:val="Heading 1 Char"/>
    <w:link w:val="Heading1"/>
    <w:rsid w:val="00B50D8E"/>
    <w:rPr>
      <w:rFonts w:ascii="Cambria" w:hAnsi="Cambria" w:cs="Times New Roman"/>
      <w:b/>
      <w:bCs/>
      <w:kern w:val="32"/>
      <w:sz w:val="28"/>
      <w:szCs w:val="32"/>
      <w:lang w:val="en-AU" w:eastAsia="en-US"/>
    </w:rPr>
  </w:style>
  <w:style w:type="character" w:styleId="Hyperlink">
    <w:name w:val="Hyperlink"/>
    <w:uiPriority w:val="99"/>
    <w:rsid w:val="001D0391"/>
    <w:rPr>
      <w:rFonts w:cs="Times New Roman"/>
      <w:color w:val="0000FF"/>
      <w:u w:val="single"/>
    </w:rPr>
  </w:style>
  <w:style w:type="paragraph" w:styleId="EnvelopeAddress">
    <w:name w:val="envelope address"/>
    <w:basedOn w:val="Normal"/>
    <w:uiPriority w:val="99"/>
    <w:rsid w:val="001D0391"/>
    <w:pPr>
      <w:framePr w:w="5040" w:h="1980" w:hRule="exact" w:hSpace="180" w:wrap="auto" w:vAnchor="page" w:hAnchor="page" w:x="577" w:y="361"/>
      <w:spacing w:after="0" w:line="240" w:lineRule="auto"/>
    </w:pPr>
    <w:rPr>
      <w:rFonts w:ascii="Cambria" w:hAnsi="Cambria" w:cs="Times New Roman"/>
      <w:sz w:val="24"/>
      <w:szCs w:val="24"/>
      <w:lang w:val="en-GB"/>
    </w:rPr>
  </w:style>
  <w:style w:type="paragraph" w:styleId="FootnoteText">
    <w:name w:val="footnote text"/>
    <w:basedOn w:val="Normal"/>
    <w:link w:val="FootnoteTextChar"/>
    <w:semiHidden/>
    <w:unhideWhenUsed/>
    <w:rsid w:val="00066667"/>
    <w:rPr>
      <w:sz w:val="20"/>
      <w:szCs w:val="20"/>
    </w:rPr>
  </w:style>
  <w:style w:type="character" w:customStyle="1" w:styleId="FootnoteTextChar">
    <w:name w:val="Footnote Text Char"/>
    <w:link w:val="FootnoteText"/>
    <w:uiPriority w:val="99"/>
    <w:semiHidden/>
    <w:rsid w:val="00066667"/>
    <w:rPr>
      <w:lang w:val="en-AU" w:eastAsia="en-US"/>
    </w:rPr>
  </w:style>
  <w:style w:type="character" w:styleId="FootnoteReference">
    <w:name w:val="footnote reference"/>
    <w:semiHidden/>
    <w:unhideWhenUsed/>
    <w:rsid w:val="00066667"/>
    <w:rPr>
      <w:vertAlign w:val="superscript"/>
    </w:rPr>
  </w:style>
  <w:style w:type="character" w:customStyle="1" w:styleId="Heading2Char">
    <w:name w:val="Heading 2 Char"/>
    <w:link w:val="Heading2"/>
    <w:rsid w:val="00A4253E"/>
    <w:rPr>
      <w:rFonts w:ascii="Cambria" w:eastAsia="SimSun" w:hAnsi="Cambria" w:cs="Times New Roman"/>
      <w:b/>
      <w:bCs/>
      <w:i/>
      <w:iCs/>
      <w:sz w:val="28"/>
      <w:szCs w:val="28"/>
      <w:lang w:val="en-AU" w:eastAsia="en-US"/>
    </w:rPr>
  </w:style>
  <w:style w:type="character" w:customStyle="1" w:styleId="Heading3Char">
    <w:name w:val="Heading 3 Char"/>
    <w:link w:val="Heading3"/>
    <w:rsid w:val="00A4253E"/>
    <w:rPr>
      <w:rFonts w:ascii="Cambria" w:eastAsia="SimSun" w:hAnsi="Cambria" w:cs="Times New Roman"/>
      <w:b/>
      <w:bCs/>
      <w:sz w:val="26"/>
      <w:szCs w:val="26"/>
      <w:lang w:val="en-AU" w:eastAsia="en-US"/>
    </w:rPr>
  </w:style>
  <w:style w:type="paragraph" w:styleId="TOCHeading">
    <w:name w:val="TOC Heading"/>
    <w:basedOn w:val="Heading1"/>
    <w:next w:val="Normal"/>
    <w:uiPriority w:val="39"/>
    <w:semiHidden/>
    <w:unhideWhenUsed/>
    <w:qFormat/>
    <w:rsid w:val="00876693"/>
    <w:pPr>
      <w:keepLines/>
      <w:spacing w:before="480" w:after="0"/>
      <w:outlineLvl w:val="9"/>
    </w:pPr>
    <w:rPr>
      <w:rFonts w:eastAsia="MS Gothic"/>
      <w:color w:val="365F91"/>
      <w:kern w:val="0"/>
      <w:szCs w:val="28"/>
      <w:lang w:val="en-US" w:eastAsia="ja-JP"/>
    </w:rPr>
  </w:style>
  <w:style w:type="paragraph" w:styleId="TOC1">
    <w:name w:val="toc 1"/>
    <w:basedOn w:val="Normal"/>
    <w:next w:val="Normal"/>
    <w:autoRedefine/>
    <w:uiPriority w:val="39"/>
    <w:locked/>
    <w:rsid w:val="00876693"/>
  </w:style>
  <w:style w:type="paragraph" w:styleId="TOC2">
    <w:name w:val="toc 2"/>
    <w:basedOn w:val="Normal"/>
    <w:next w:val="Normal"/>
    <w:autoRedefine/>
    <w:uiPriority w:val="39"/>
    <w:locked/>
    <w:rsid w:val="00876693"/>
    <w:pPr>
      <w:ind w:left="220"/>
    </w:pPr>
  </w:style>
  <w:style w:type="paragraph" w:styleId="TOC3">
    <w:name w:val="toc 3"/>
    <w:basedOn w:val="Normal"/>
    <w:next w:val="Normal"/>
    <w:autoRedefine/>
    <w:uiPriority w:val="39"/>
    <w:locked/>
    <w:rsid w:val="00876693"/>
    <w:pPr>
      <w:ind w:left="440"/>
    </w:pPr>
  </w:style>
  <w:style w:type="paragraph" w:styleId="NoSpacing">
    <w:name w:val="No Spacing"/>
    <w:link w:val="NoSpacingChar"/>
    <w:uiPriority w:val="1"/>
    <w:qFormat/>
    <w:rsid w:val="00BC508C"/>
    <w:rPr>
      <w:rFonts w:eastAsia="MS Mincho"/>
      <w:sz w:val="22"/>
      <w:szCs w:val="22"/>
      <w:lang w:eastAsia="ja-JP"/>
    </w:rPr>
  </w:style>
  <w:style w:type="character" w:customStyle="1" w:styleId="NoSpacingChar">
    <w:name w:val="No Spacing Char"/>
    <w:link w:val="NoSpacing"/>
    <w:uiPriority w:val="1"/>
    <w:rsid w:val="00BC508C"/>
    <w:rPr>
      <w:rFonts w:eastAsia="MS Mincho"/>
      <w:sz w:val="22"/>
      <w:szCs w:val="22"/>
      <w:lang w:eastAsia="ja-JP"/>
    </w:rPr>
  </w:style>
  <w:style w:type="paragraph" w:styleId="Title">
    <w:name w:val="Title"/>
    <w:basedOn w:val="Normal"/>
    <w:next w:val="Normal"/>
    <w:link w:val="TitleChar"/>
    <w:uiPriority w:val="10"/>
    <w:qFormat/>
    <w:locked/>
    <w:rsid w:val="00BC508C"/>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link w:val="Title"/>
    <w:uiPriority w:val="10"/>
    <w:rsid w:val="00BC508C"/>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locked/>
    <w:rsid w:val="00BC508C"/>
    <w:pPr>
      <w:numPr>
        <w:ilvl w:val="1"/>
      </w:numPr>
      <w:spacing w:line="276" w:lineRule="auto"/>
    </w:pPr>
    <w:rPr>
      <w:rFonts w:ascii="Cambria" w:eastAsia="MS Gothic" w:hAnsi="Cambria" w:cs="Times New Roman"/>
      <w:i/>
      <w:iCs/>
      <w:color w:val="4F81BD"/>
      <w:spacing w:val="15"/>
      <w:sz w:val="24"/>
      <w:szCs w:val="24"/>
      <w:lang w:val="en-US" w:eastAsia="ja-JP"/>
    </w:rPr>
  </w:style>
  <w:style w:type="character" w:customStyle="1" w:styleId="SubtitleChar">
    <w:name w:val="Subtitle Char"/>
    <w:link w:val="Subtitle"/>
    <w:uiPriority w:val="11"/>
    <w:rsid w:val="00BC508C"/>
    <w:rPr>
      <w:rFonts w:ascii="Cambria" w:eastAsia="MS Gothic" w:hAnsi="Cambria" w:cs="Times New Roman"/>
      <w:i/>
      <w:iCs/>
      <w:color w:val="4F81BD"/>
      <w:spacing w:val="15"/>
      <w:sz w:val="24"/>
      <w:szCs w:val="24"/>
      <w:lang w:eastAsia="ja-JP"/>
    </w:rPr>
  </w:style>
  <w:style w:type="character" w:customStyle="1" w:styleId="Heading4Char">
    <w:name w:val="Heading 4 Char"/>
    <w:link w:val="Heading4"/>
    <w:rsid w:val="00720884"/>
    <w:rPr>
      <w:rFonts w:ascii="Calibri" w:eastAsia="SimSun" w:hAnsi="Calibri" w:cs="Arial"/>
      <w:b/>
      <w:bCs/>
      <w:sz w:val="28"/>
      <w:szCs w:val="28"/>
      <w:lang w:val="en-AU" w:eastAsia="en-US"/>
    </w:rPr>
  </w:style>
  <w:style w:type="character" w:styleId="FollowedHyperlink">
    <w:name w:val="FollowedHyperlink"/>
    <w:basedOn w:val="DefaultParagraphFont"/>
    <w:uiPriority w:val="99"/>
    <w:semiHidden/>
    <w:unhideWhenUsed/>
    <w:rsid w:val="00D52BD2"/>
    <w:rPr>
      <w:color w:val="800080" w:themeColor="followedHyperlink"/>
      <w:u w:val="single"/>
    </w:rPr>
  </w:style>
  <w:style w:type="character" w:styleId="CommentReference">
    <w:name w:val="annotation reference"/>
    <w:basedOn w:val="DefaultParagraphFont"/>
    <w:uiPriority w:val="99"/>
    <w:semiHidden/>
    <w:unhideWhenUsed/>
    <w:rsid w:val="00E071A3"/>
    <w:rPr>
      <w:sz w:val="16"/>
      <w:szCs w:val="16"/>
    </w:rPr>
  </w:style>
  <w:style w:type="paragraph" w:styleId="CommentText">
    <w:name w:val="annotation text"/>
    <w:basedOn w:val="Normal"/>
    <w:link w:val="CommentTextChar"/>
    <w:uiPriority w:val="99"/>
    <w:semiHidden/>
    <w:unhideWhenUsed/>
    <w:rsid w:val="00E071A3"/>
    <w:pPr>
      <w:spacing w:line="240" w:lineRule="auto"/>
    </w:pPr>
    <w:rPr>
      <w:sz w:val="20"/>
      <w:szCs w:val="20"/>
    </w:rPr>
  </w:style>
  <w:style w:type="character" w:customStyle="1" w:styleId="CommentTextChar">
    <w:name w:val="Comment Text Char"/>
    <w:basedOn w:val="DefaultParagraphFont"/>
    <w:link w:val="CommentText"/>
    <w:uiPriority w:val="99"/>
    <w:semiHidden/>
    <w:rsid w:val="00E071A3"/>
    <w:rPr>
      <w:rFonts w:ascii="Arial" w:hAnsi="Arial"/>
      <w:lang w:val="en-AU" w:eastAsia="en-US"/>
    </w:rPr>
  </w:style>
  <w:style w:type="paragraph" w:styleId="CommentSubject">
    <w:name w:val="annotation subject"/>
    <w:basedOn w:val="CommentText"/>
    <w:next w:val="CommentText"/>
    <w:link w:val="CommentSubjectChar"/>
    <w:uiPriority w:val="99"/>
    <w:semiHidden/>
    <w:unhideWhenUsed/>
    <w:rsid w:val="00E071A3"/>
    <w:rPr>
      <w:b/>
      <w:bCs/>
    </w:rPr>
  </w:style>
  <w:style w:type="character" w:customStyle="1" w:styleId="CommentSubjectChar">
    <w:name w:val="Comment Subject Char"/>
    <w:basedOn w:val="CommentTextChar"/>
    <w:link w:val="CommentSubject"/>
    <w:uiPriority w:val="99"/>
    <w:semiHidden/>
    <w:rsid w:val="00E071A3"/>
    <w:rPr>
      <w:rFonts w:ascii="Arial" w:hAnsi="Arial"/>
      <w:b/>
      <w:bCs/>
      <w:lang w:val="en-AU" w:eastAsia="en-US"/>
    </w:rPr>
  </w:style>
  <w:style w:type="paragraph" w:styleId="BodyText2">
    <w:name w:val="Body Text 2"/>
    <w:basedOn w:val="Normal"/>
    <w:link w:val="BodyText2Char"/>
    <w:rsid w:val="00525D1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de-DE"/>
    </w:rPr>
  </w:style>
  <w:style w:type="character" w:customStyle="1" w:styleId="BodyText2Char">
    <w:name w:val="Body Text 2 Char"/>
    <w:basedOn w:val="DefaultParagraphFont"/>
    <w:link w:val="BodyText2"/>
    <w:rsid w:val="00525D13"/>
    <w:rPr>
      <w:rFonts w:ascii="Times New Roman" w:eastAsia="Times New Roman" w:hAnsi="Times New Roman" w:cs="Times New Roman"/>
      <w:lang w:val="de-DE" w:eastAsia="en-US"/>
    </w:rPr>
  </w:style>
  <w:style w:type="character" w:styleId="Emphasis">
    <w:name w:val="Emphasis"/>
    <w:basedOn w:val="DefaultParagraphFont"/>
    <w:uiPriority w:val="20"/>
    <w:qFormat/>
    <w:locked/>
    <w:rsid w:val="00B17984"/>
    <w:rPr>
      <w:b/>
      <w:bCs/>
      <w:i w:val="0"/>
      <w:iCs w:val="0"/>
    </w:rPr>
  </w:style>
  <w:style w:type="character" w:customStyle="1" w:styleId="st">
    <w:name w:val="st"/>
    <w:basedOn w:val="DefaultParagraphFont"/>
    <w:rsid w:val="00B17984"/>
  </w:style>
  <w:style w:type="paragraph" w:customStyle="1" w:styleId="paragraph">
    <w:name w:val="paragraph"/>
    <w:basedOn w:val="Normal"/>
    <w:rsid w:val="006E13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6E13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6E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56">
      <w:bodyDiv w:val="1"/>
      <w:marLeft w:val="0"/>
      <w:marRight w:val="0"/>
      <w:marTop w:val="0"/>
      <w:marBottom w:val="0"/>
      <w:divBdr>
        <w:top w:val="none" w:sz="0" w:space="0" w:color="auto"/>
        <w:left w:val="none" w:sz="0" w:space="0" w:color="auto"/>
        <w:bottom w:val="none" w:sz="0" w:space="0" w:color="auto"/>
        <w:right w:val="none" w:sz="0" w:space="0" w:color="auto"/>
      </w:divBdr>
    </w:div>
    <w:div w:id="95558545">
      <w:bodyDiv w:val="1"/>
      <w:marLeft w:val="0"/>
      <w:marRight w:val="0"/>
      <w:marTop w:val="0"/>
      <w:marBottom w:val="0"/>
      <w:divBdr>
        <w:top w:val="none" w:sz="0" w:space="0" w:color="auto"/>
        <w:left w:val="none" w:sz="0" w:space="0" w:color="auto"/>
        <w:bottom w:val="none" w:sz="0" w:space="0" w:color="auto"/>
        <w:right w:val="none" w:sz="0" w:space="0" w:color="auto"/>
      </w:divBdr>
      <w:divsChild>
        <w:div w:id="1009261430">
          <w:marLeft w:val="0"/>
          <w:marRight w:val="0"/>
          <w:marTop w:val="0"/>
          <w:marBottom w:val="0"/>
          <w:divBdr>
            <w:top w:val="none" w:sz="0" w:space="0" w:color="auto"/>
            <w:left w:val="none" w:sz="0" w:space="0" w:color="auto"/>
            <w:bottom w:val="none" w:sz="0" w:space="0" w:color="auto"/>
            <w:right w:val="none" w:sz="0" w:space="0" w:color="auto"/>
          </w:divBdr>
          <w:divsChild>
            <w:div w:id="824320220">
              <w:marLeft w:val="0"/>
              <w:marRight w:val="0"/>
              <w:marTop w:val="0"/>
              <w:marBottom w:val="0"/>
              <w:divBdr>
                <w:top w:val="none" w:sz="0" w:space="0" w:color="auto"/>
                <w:left w:val="none" w:sz="0" w:space="0" w:color="auto"/>
                <w:bottom w:val="none" w:sz="0" w:space="0" w:color="auto"/>
                <w:right w:val="none" w:sz="0" w:space="0" w:color="auto"/>
              </w:divBdr>
              <w:divsChild>
                <w:div w:id="1452895127">
                  <w:marLeft w:val="0"/>
                  <w:marRight w:val="0"/>
                  <w:marTop w:val="0"/>
                  <w:marBottom w:val="0"/>
                  <w:divBdr>
                    <w:top w:val="none" w:sz="0" w:space="0" w:color="auto"/>
                    <w:left w:val="none" w:sz="0" w:space="0" w:color="auto"/>
                    <w:bottom w:val="none" w:sz="0" w:space="0" w:color="auto"/>
                    <w:right w:val="none" w:sz="0" w:space="0" w:color="auto"/>
                  </w:divBdr>
                  <w:divsChild>
                    <w:div w:id="8583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9693">
      <w:bodyDiv w:val="1"/>
      <w:marLeft w:val="0"/>
      <w:marRight w:val="0"/>
      <w:marTop w:val="0"/>
      <w:marBottom w:val="0"/>
      <w:divBdr>
        <w:top w:val="none" w:sz="0" w:space="0" w:color="auto"/>
        <w:left w:val="none" w:sz="0" w:space="0" w:color="auto"/>
        <w:bottom w:val="none" w:sz="0" w:space="0" w:color="auto"/>
        <w:right w:val="none" w:sz="0" w:space="0" w:color="auto"/>
      </w:divBdr>
      <w:divsChild>
        <w:div w:id="262225928">
          <w:marLeft w:val="0"/>
          <w:marRight w:val="0"/>
          <w:marTop w:val="0"/>
          <w:marBottom w:val="0"/>
          <w:divBdr>
            <w:top w:val="none" w:sz="0" w:space="0" w:color="auto"/>
            <w:left w:val="none" w:sz="0" w:space="0" w:color="auto"/>
            <w:bottom w:val="none" w:sz="0" w:space="0" w:color="auto"/>
            <w:right w:val="none" w:sz="0" w:space="0" w:color="auto"/>
          </w:divBdr>
          <w:divsChild>
            <w:div w:id="1272200480">
              <w:marLeft w:val="0"/>
              <w:marRight w:val="0"/>
              <w:marTop w:val="0"/>
              <w:marBottom w:val="0"/>
              <w:divBdr>
                <w:top w:val="none" w:sz="0" w:space="0" w:color="auto"/>
                <w:left w:val="none" w:sz="0" w:space="0" w:color="auto"/>
                <w:bottom w:val="none" w:sz="0" w:space="0" w:color="auto"/>
                <w:right w:val="none" w:sz="0" w:space="0" w:color="auto"/>
              </w:divBdr>
              <w:divsChild>
                <w:div w:id="1916744332">
                  <w:marLeft w:val="0"/>
                  <w:marRight w:val="0"/>
                  <w:marTop w:val="0"/>
                  <w:marBottom w:val="0"/>
                  <w:divBdr>
                    <w:top w:val="none" w:sz="0" w:space="0" w:color="auto"/>
                    <w:left w:val="none" w:sz="0" w:space="0" w:color="auto"/>
                    <w:bottom w:val="none" w:sz="0" w:space="0" w:color="auto"/>
                    <w:right w:val="none" w:sz="0" w:space="0" w:color="auto"/>
                  </w:divBdr>
                  <w:divsChild>
                    <w:div w:id="12136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14229">
      <w:bodyDiv w:val="1"/>
      <w:marLeft w:val="0"/>
      <w:marRight w:val="0"/>
      <w:marTop w:val="0"/>
      <w:marBottom w:val="0"/>
      <w:divBdr>
        <w:top w:val="none" w:sz="0" w:space="0" w:color="auto"/>
        <w:left w:val="none" w:sz="0" w:space="0" w:color="auto"/>
        <w:bottom w:val="none" w:sz="0" w:space="0" w:color="auto"/>
        <w:right w:val="none" w:sz="0" w:space="0" w:color="auto"/>
      </w:divBdr>
    </w:div>
    <w:div w:id="1395854867">
      <w:bodyDiv w:val="1"/>
      <w:marLeft w:val="0"/>
      <w:marRight w:val="0"/>
      <w:marTop w:val="0"/>
      <w:marBottom w:val="0"/>
      <w:divBdr>
        <w:top w:val="none" w:sz="0" w:space="0" w:color="auto"/>
        <w:left w:val="none" w:sz="0" w:space="0" w:color="auto"/>
        <w:bottom w:val="none" w:sz="0" w:space="0" w:color="auto"/>
        <w:right w:val="none" w:sz="0" w:space="0" w:color="auto"/>
      </w:divBdr>
    </w:div>
    <w:div w:id="1999378158">
      <w:bodyDiv w:val="1"/>
      <w:marLeft w:val="0"/>
      <w:marRight w:val="0"/>
      <w:marTop w:val="0"/>
      <w:marBottom w:val="0"/>
      <w:divBdr>
        <w:top w:val="none" w:sz="0" w:space="0" w:color="auto"/>
        <w:left w:val="none" w:sz="0" w:space="0" w:color="auto"/>
        <w:bottom w:val="none" w:sz="0" w:space="0" w:color="auto"/>
        <w:right w:val="none" w:sz="0" w:space="0" w:color="auto"/>
      </w:divBdr>
      <w:divsChild>
        <w:div w:id="190149506">
          <w:marLeft w:val="0"/>
          <w:marRight w:val="0"/>
          <w:marTop w:val="0"/>
          <w:marBottom w:val="0"/>
          <w:divBdr>
            <w:top w:val="none" w:sz="0" w:space="0" w:color="auto"/>
            <w:left w:val="none" w:sz="0" w:space="0" w:color="auto"/>
            <w:bottom w:val="none" w:sz="0" w:space="0" w:color="auto"/>
            <w:right w:val="none" w:sz="0" w:space="0" w:color="auto"/>
          </w:divBdr>
          <w:divsChild>
            <w:div w:id="1973054702">
              <w:marLeft w:val="0"/>
              <w:marRight w:val="0"/>
              <w:marTop w:val="0"/>
              <w:marBottom w:val="0"/>
              <w:divBdr>
                <w:top w:val="none" w:sz="0" w:space="0" w:color="auto"/>
                <w:left w:val="none" w:sz="0" w:space="0" w:color="auto"/>
                <w:bottom w:val="none" w:sz="0" w:space="0" w:color="auto"/>
                <w:right w:val="none" w:sz="0" w:space="0" w:color="auto"/>
              </w:divBdr>
              <w:divsChild>
                <w:div w:id="648830775">
                  <w:marLeft w:val="0"/>
                  <w:marRight w:val="0"/>
                  <w:marTop w:val="0"/>
                  <w:marBottom w:val="0"/>
                  <w:divBdr>
                    <w:top w:val="none" w:sz="0" w:space="0" w:color="auto"/>
                    <w:left w:val="none" w:sz="0" w:space="0" w:color="auto"/>
                    <w:bottom w:val="none" w:sz="0" w:space="0" w:color="auto"/>
                    <w:right w:val="none" w:sz="0" w:space="0" w:color="auto"/>
                  </w:divBdr>
                  <w:divsChild>
                    <w:div w:id="1008479680">
                      <w:marLeft w:val="0"/>
                      <w:marRight w:val="0"/>
                      <w:marTop w:val="0"/>
                      <w:marBottom w:val="0"/>
                      <w:divBdr>
                        <w:top w:val="none" w:sz="0" w:space="0" w:color="auto"/>
                        <w:left w:val="none" w:sz="0" w:space="0" w:color="auto"/>
                        <w:bottom w:val="none" w:sz="0" w:space="0" w:color="auto"/>
                        <w:right w:val="none" w:sz="0" w:space="0" w:color="auto"/>
                      </w:divBdr>
                      <w:divsChild>
                        <w:div w:id="1028408777">
                          <w:marLeft w:val="0"/>
                          <w:marRight w:val="0"/>
                          <w:marTop w:val="0"/>
                          <w:marBottom w:val="0"/>
                          <w:divBdr>
                            <w:top w:val="single" w:sz="6" w:space="0" w:color="828282"/>
                            <w:left w:val="single" w:sz="6" w:space="0" w:color="828282"/>
                            <w:bottom w:val="single" w:sz="6" w:space="0" w:color="828282"/>
                            <w:right w:val="single" w:sz="6" w:space="0" w:color="828282"/>
                          </w:divBdr>
                          <w:divsChild>
                            <w:div w:id="1031342733">
                              <w:marLeft w:val="0"/>
                              <w:marRight w:val="0"/>
                              <w:marTop w:val="0"/>
                              <w:marBottom w:val="0"/>
                              <w:divBdr>
                                <w:top w:val="none" w:sz="0" w:space="0" w:color="auto"/>
                                <w:left w:val="none" w:sz="0" w:space="0" w:color="auto"/>
                                <w:bottom w:val="none" w:sz="0" w:space="0" w:color="auto"/>
                                <w:right w:val="none" w:sz="0" w:space="0" w:color="auto"/>
                              </w:divBdr>
                              <w:divsChild>
                                <w:div w:id="1468356579">
                                  <w:marLeft w:val="0"/>
                                  <w:marRight w:val="0"/>
                                  <w:marTop w:val="0"/>
                                  <w:marBottom w:val="0"/>
                                  <w:divBdr>
                                    <w:top w:val="none" w:sz="0" w:space="0" w:color="auto"/>
                                    <w:left w:val="none" w:sz="0" w:space="0" w:color="auto"/>
                                    <w:bottom w:val="none" w:sz="0" w:space="0" w:color="auto"/>
                                    <w:right w:val="none" w:sz="0" w:space="0" w:color="auto"/>
                                  </w:divBdr>
                                  <w:divsChild>
                                    <w:div w:id="127095512">
                                      <w:marLeft w:val="0"/>
                                      <w:marRight w:val="0"/>
                                      <w:marTop w:val="0"/>
                                      <w:marBottom w:val="0"/>
                                      <w:divBdr>
                                        <w:top w:val="none" w:sz="0" w:space="0" w:color="auto"/>
                                        <w:left w:val="none" w:sz="0" w:space="0" w:color="auto"/>
                                        <w:bottom w:val="none" w:sz="0" w:space="0" w:color="auto"/>
                                        <w:right w:val="none" w:sz="0" w:space="0" w:color="auto"/>
                                      </w:divBdr>
                                      <w:divsChild>
                                        <w:div w:id="1390378099">
                                          <w:marLeft w:val="0"/>
                                          <w:marRight w:val="0"/>
                                          <w:marTop w:val="0"/>
                                          <w:marBottom w:val="0"/>
                                          <w:divBdr>
                                            <w:top w:val="none" w:sz="0" w:space="0" w:color="auto"/>
                                            <w:left w:val="none" w:sz="0" w:space="0" w:color="auto"/>
                                            <w:bottom w:val="none" w:sz="0" w:space="0" w:color="auto"/>
                                            <w:right w:val="none" w:sz="0" w:space="0" w:color="auto"/>
                                          </w:divBdr>
                                          <w:divsChild>
                                            <w:div w:id="354380259">
                                              <w:marLeft w:val="0"/>
                                              <w:marRight w:val="0"/>
                                              <w:marTop w:val="0"/>
                                              <w:marBottom w:val="0"/>
                                              <w:divBdr>
                                                <w:top w:val="none" w:sz="0" w:space="0" w:color="auto"/>
                                                <w:left w:val="none" w:sz="0" w:space="0" w:color="auto"/>
                                                <w:bottom w:val="none" w:sz="0" w:space="0" w:color="auto"/>
                                                <w:right w:val="none" w:sz="0" w:space="0" w:color="auto"/>
                                              </w:divBdr>
                                              <w:divsChild>
                                                <w:div w:id="20445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odstandards.gov.au/foodstandards/proposals" TargetMode="External"/><Relationship Id="rId18" Type="http://schemas.openxmlformats.org/officeDocument/2006/relationships/hyperlink" Target="http://www.who.int/entity/foodsafety/publications/micro/cac1999/en/index.html" TargetMode="External"/><Relationship Id="rId26" Type="http://schemas.openxmlformats.org/officeDocument/2006/relationships/hyperlink" Target="http://www.foodstandards.gov.au/_srcfiles/Food%20Related%20Health%20Risks%20WEB_FA.pdf" TargetMode="External"/><Relationship Id="rId39" Type="http://schemas.openxmlformats.org/officeDocument/2006/relationships/header" Target="header1.xml"/><Relationship Id="rId21" Type="http://schemas.openxmlformats.org/officeDocument/2006/relationships/hyperlink" Target="http://www.who.int/entity/ipcs/highlights/full_report.pdf" TargetMode="External"/><Relationship Id="rId34" Type="http://schemas.openxmlformats.org/officeDocument/2006/relationships/hyperlink" Target="http://www.foodstandards.gov.au/_srcfiles/Application%20Handbook%20as%20at%201%20August%202011.pdf"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who.int/entity/foodsafety/publications/micro/mra7/en/index.html" TargetMode="External"/><Relationship Id="rId29" Type="http://schemas.openxmlformats.org/officeDocument/2006/relationships/hyperlink" Target="http://www.foodstandards.gov.au/_srcfiles/A1024%20Plant%20Stanols%20AppR%20SD1%20Risk%20Asses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odstandards.gov.au/foodstandards/changingthecode/applicationshandbook.cfm" TargetMode="External"/><Relationship Id="rId24" Type="http://schemas.openxmlformats.org/officeDocument/2006/relationships/hyperlink" Target="ftp://ftp.fao.org/docrep/fao/010/a1296e/a1296e00.pdf" TargetMode="External"/><Relationship Id="rId32" Type="http://schemas.openxmlformats.org/officeDocument/2006/relationships/hyperlink" Target="http://www.foodstandards.gov.au/_srcfiles/Dietary%20modelling%20peer%20review%20report.pdf" TargetMode="External"/><Relationship Id="rId37" Type="http://schemas.openxmlformats.org/officeDocument/2006/relationships/hyperlink" Target="http://www.foodstandards.gov.au/_srcfiles/web_Science_Strat_final.pdf" TargetMode="External"/><Relationship Id="rId40" Type="http://schemas.openxmlformats.org/officeDocument/2006/relationships/footer" Target="footer1.xml"/><Relationship Id="rId45"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hyperlink" Target="http://www.who.int/foodsafety/publications/micro/riskanalysis06/en/" TargetMode="External"/><Relationship Id="rId23" Type="http://schemas.openxmlformats.org/officeDocument/2006/relationships/hyperlink" Target="http://whqlibdoc.who.int/publications/2011/9789241564311_eng.pdf" TargetMode="External"/><Relationship Id="rId28" Type="http://schemas.openxmlformats.org/officeDocument/2006/relationships/hyperlink" Target="http://www.foodstandards.gov.au/_srcfiles/A1019%20Phytosterol%20esters%20in%20low%20fat%20cheese%20AR%20SD1%20Risk%20Assessment.pdf" TargetMode="External"/><Relationship Id="rId36" Type="http://schemas.openxmlformats.org/officeDocument/2006/relationships/hyperlink" Target="http://www.foodstandards.gov.au/foodstandards/proposals/proposalp1007primary3953.cfm" TargetMode="External"/><Relationship Id="rId10" Type="http://schemas.openxmlformats.org/officeDocument/2006/relationships/image" Target="media/image1.wmf"/><Relationship Id="rId19" Type="http://schemas.openxmlformats.org/officeDocument/2006/relationships/hyperlink" Target="http://www.who.int/entity/foodsafety/publications/micro/march1999/en/index.html" TargetMode="External"/><Relationship Id="rId31" Type="http://schemas.openxmlformats.org/officeDocument/2006/relationships/hyperlink" Target="http://www.foodstandards.gov.au/foodstandards/applications/applicationa1042food4758.cfm" TargetMode="External"/><Relationship Id="rId44"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ho.int/foodsafety/publications/micro/en/march1995.pdf" TargetMode="External"/><Relationship Id="rId22" Type="http://schemas.openxmlformats.org/officeDocument/2006/relationships/hyperlink" Target="http://whqlibdoc.who.int/publications/2009/9789241598941_eng.pdf" TargetMode="External"/><Relationship Id="rId27" Type="http://schemas.openxmlformats.org/officeDocument/2006/relationships/hyperlink" Target="http://www.foodstandards.gov.au/foodstandards/applications/applicationa1005conj3859.cfm" TargetMode="External"/><Relationship Id="rId30" Type="http://schemas.openxmlformats.org/officeDocument/2006/relationships/hyperlink" Target="http://www.foodstandards.gov.au/foodstandards/applications/applicationa1034adva4493.cfm" TargetMode="External"/><Relationship Id="rId35" Type="http://schemas.openxmlformats.org/officeDocument/2006/relationships/hyperlink" Target="http://www.foodstandards.gov.au/_srcfiles/GM%20Peer%20Review%20Report.pdf" TargetMode="External"/><Relationship Id="rId43" Type="http://schemas.openxmlformats.org/officeDocument/2006/relationships/customXml" Target="../customXml/item3.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www.foodstandards.gov.au/foodstandards/proposals/completedproposals.cfm" TargetMode="External"/><Relationship Id="rId17" Type="http://schemas.openxmlformats.org/officeDocument/2006/relationships/hyperlink" Target="http://www.who.int/entity/foodsafety/publications/micro/pathogen/en/index.html" TargetMode="External"/><Relationship Id="rId25" Type="http://schemas.openxmlformats.org/officeDocument/2006/relationships/hyperlink" Target="http://www.foodstandards.gov.au/_srcfiles/2011%20Implementation%20plan%20FOR%20WEB1.pdf" TargetMode="External"/><Relationship Id="rId33" Type="http://schemas.openxmlformats.org/officeDocument/2006/relationships/hyperlink" Target="http://www.foodstandards.gov.au/_srcfiles/Food%20comp%20review%20-%20Final%20Report%20for%20website%20-%20Jul%2011.pdf" TargetMode="External"/><Relationship Id="rId38" Type="http://schemas.openxmlformats.org/officeDocument/2006/relationships/hyperlink" Target="http://www.foodstandards.gov.au/scienceandeducation/monitoringandsurveillance/foodsurveillance/surveyofnitratesandn5368.cfm" TargetMode="External"/><Relationship Id="rId20" Type="http://schemas.openxmlformats.org/officeDocument/2006/relationships/hyperlink" Target="http://www.who.int/foodsafety/chem/principles/en/index1.html"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2012-04-23T00:00:00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80CE172A-934B-40B8-8C07-FEE5B6FF75CC}"/>
</file>

<file path=customXml/itemProps3.xml><?xml version="1.0" encoding="utf-8"?>
<ds:datastoreItem xmlns:ds="http://schemas.openxmlformats.org/officeDocument/2006/customXml" ds:itemID="{1B14D32C-67BB-42F6-B4F4-16B72BB6DC5E}"/>
</file>

<file path=customXml/itemProps4.xml><?xml version="1.0" encoding="utf-8"?>
<ds:datastoreItem xmlns:ds="http://schemas.openxmlformats.org/officeDocument/2006/customXml" ds:itemID="{373C30B6-88ED-4088-9DA0-E15A1E16D80A}"/>
</file>

<file path=customXml/itemProps5.xml><?xml version="1.0" encoding="utf-8"?>
<ds:datastoreItem xmlns:ds="http://schemas.openxmlformats.org/officeDocument/2006/customXml" ds:itemID="{DCD98BEE-E7BB-4E8F-A3C0-B544ACB03D41}"/>
</file>

<file path=docProps/app.xml><?xml version="1.0" encoding="utf-8"?>
<Properties xmlns="http://schemas.openxmlformats.org/officeDocument/2006/extended-properties" xmlns:vt="http://schemas.openxmlformats.org/officeDocument/2006/docPropsVTypes">
  <Template>Normal</Template>
  <TotalTime>1</TotalTime>
  <Pages>40</Pages>
  <Words>12682</Words>
  <Characters>81442</Characters>
  <Application>Microsoft Office Word</Application>
  <DocSecurity>4</DocSecurity>
  <Lines>678</Lines>
  <Paragraphs>187</Paragraphs>
  <ScaleCrop>false</ScaleCrop>
  <HeadingPairs>
    <vt:vector size="2" baseType="variant">
      <vt:variant>
        <vt:lpstr>Title</vt:lpstr>
      </vt:variant>
      <vt:variant>
        <vt:i4>1</vt:i4>
      </vt:variant>
    </vt:vector>
  </HeadingPairs>
  <TitlesOfParts>
    <vt:vector size="1" baseType="lpstr">
      <vt:lpstr>EXTERNAL PEER REVIEW OF FSANZ RISK ASSESSMENT PRACTICES AND PROCEDURES</vt:lpstr>
    </vt:vector>
  </TitlesOfParts>
  <Company>Food Standards Australia New Zealand</Company>
  <LinksUpToDate>false</LinksUpToDate>
  <CharactersWithSpaces>93937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peer review of FSANZ risk assessment practices and procedures</dc:title>
  <dc:creator>Dr Angelika Tritscher, World Health Organization</dc:creator>
  <cp:lastModifiedBy>carpev</cp:lastModifiedBy>
  <cp:revision>2</cp:revision>
  <cp:lastPrinted>2012-04-23T07:52:00Z</cp:lastPrinted>
  <dcterms:created xsi:type="dcterms:W3CDTF">2013-05-28T03:47:00Z</dcterms:created>
  <dcterms:modified xsi:type="dcterms:W3CDTF">2013-05-28T03:47:00Z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0x010100AA24B29DC7595044A69C84D0E99A2E2D</vt:lpwstr>
  </property>
</Properties>
</file>